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drawings/drawing7.xml" ContentType="application/vnd.openxmlformats-officedocument.drawingml.chartshapes+xml"/>
  <Override PartName="/word/charts/chart10.xml" ContentType="application/vnd.openxmlformats-officedocument.drawingml.chart+xml"/>
  <Override PartName="/word/drawings/drawing8.xml" ContentType="application/vnd.openxmlformats-officedocument.drawingml.chartshapes+xml"/>
  <Override PartName="/word/charts/chart11.xml" ContentType="application/vnd.openxmlformats-officedocument.drawingml.chart+xml"/>
  <Override PartName="/word/drawings/drawing9.xml" ContentType="application/vnd.openxmlformats-officedocument.drawingml.chartshapes+xml"/>
  <Override PartName="/word/charts/chart12.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drawings/drawing1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B" w:rsidRDefault="009022AD" w:rsidP="004762C3">
      <w:pPr>
        <w:pBdr>
          <w:top w:val="single" w:sz="48" w:space="1" w:color="403152" w:themeColor="accent4" w:themeShade="80"/>
          <w:left w:val="single" w:sz="48" w:space="4" w:color="403152" w:themeColor="accent4" w:themeShade="80"/>
        </w:pBdr>
      </w:pPr>
      <w:bookmarkStart w:id="0" w:name="_GoBack"/>
      <w:bookmarkEnd w:id="0"/>
      <w:r>
        <w:rPr>
          <w:noProof/>
          <w:lang w:eastAsia="en-GB"/>
        </w:rPr>
        <w:drawing>
          <wp:inline distT="0" distB="0" distL="0" distR="0" wp14:anchorId="6C0DA242">
            <wp:extent cx="1542415" cy="154241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1542415"/>
                    </a:xfrm>
                    <a:prstGeom prst="rect">
                      <a:avLst/>
                    </a:prstGeom>
                    <a:noFill/>
                  </pic:spPr>
                </pic:pic>
              </a:graphicData>
            </a:graphic>
          </wp:inline>
        </w:drawing>
      </w:r>
    </w:p>
    <w:p w:rsidR="004762C3" w:rsidRPr="009022AD" w:rsidRDefault="004762C3" w:rsidP="004762C3">
      <w:pPr>
        <w:pBdr>
          <w:top w:val="single" w:sz="48" w:space="1" w:color="403152" w:themeColor="accent4" w:themeShade="80"/>
          <w:left w:val="single" w:sz="48" w:space="4" w:color="403152" w:themeColor="accent4" w:themeShade="80"/>
        </w:pBdr>
        <w:rPr>
          <w:rFonts w:ascii="Arial" w:hAnsi="Arial" w:cs="Arial"/>
          <w:b/>
          <w:sz w:val="28"/>
          <w:szCs w:val="28"/>
        </w:rPr>
      </w:pPr>
      <w:r w:rsidRPr="009022AD">
        <w:rPr>
          <w:rFonts w:ascii="Arial" w:hAnsi="Arial" w:cs="Arial"/>
          <w:b/>
          <w:sz w:val="28"/>
          <w:szCs w:val="28"/>
        </w:rPr>
        <w:t>Living Life Now</w:t>
      </w:r>
    </w:p>
    <w:p w:rsidR="004762C3" w:rsidRPr="009022AD" w:rsidRDefault="004762C3" w:rsidP="004762C3">
      <w:pPr>
        <w:pBdr>
          <w:top w:val="single" w:sz="48" w:space="1" w:color="403152" w:themeColor="accent4" w:themeShade="80"/>
          <w:left w:val="single" w:sz="48" w:space="4" w:color="403152" w:themeColor="accent4" w:themeShade="80"/>
        </w:pBdr>
        <w:rPr>
          <w:rFonts w:ascii="Arial" w:hAnsi="Arial" w:cs="Arial"/>
          <w:sz w:val="28"/>
          <w:szCs w:val="28"/>
        </w:rPr>
      </w:pPr>
      <w:r w:rsidRPr="009022AD">
        <w:rPr>
          <w:rFonts w:ascii="Arial" w:hAnsi="Arial" w:cs="Arial"/>
          <w:sz w:val="28"/>
          <w:szCs w:val="28"/>
        </w:rPr>
        <w:t xml:space="preserve">A report by Dudley Advocacy looking at the lives now of the people who used to live at Ridge Hill Hospital and how their lives </w:t>
      </w:r>
      <w:r w:rsidR="00B74D20" w:rsidRPr="009022AD">
        <w:rPr>
          <w:rFonts w:ascii="Arial" w:hAnsi="Arial" w:cs="Arial"/>
          <w:sz w:val="28"/>
          <w:szCs w:val="28"/>
        </w:rPr>
        <w:t xml:space="preserve">compare in the community </w:t>
      </w:r>
      <w:r w:rsidRPr="009022AD">
        <w:rPr>
          <w:rFonts w:ascii="Arial" w:hAnsi="Arial" w:cs="Arial"/>
          <w:sz w:val="28"/>
          <w:szCs w:val="28"/>
        </w:rPr>
        <w:t xml:space="preserve">six years on </w:t>
      </w:r>
    </w:p>
    <w:p w:rsidR="004762C3" w:rsidRDefault="004762C3" w:rsidP="004762C3">
      <w:pPr>
        <w:pBdr>
          <w:top w:val="single" w:sz="48" w:space="1" w:color="403152" w:themeColor="accent4" w:themeShade="80"/>
          <w:left w:val="single" w:sz="48" w:space="4" w:color="403152" w:themeColor="accent4" w:themeShade="80"/>
        </w:pBdr>
      </w:pPr>
    </w:p>
    <w:p w:rsidR="004762C3" w:rsidRDefault="00860759" w:rsidP="004762C3">
      <w:pPr>
        <w:pBdr>
          <w:top w:val="single" w:sz="48" w:space="1" w:color="403152" w:themeColor="accent4" w:themeShade="80"/>
          <w:left w:val="single" w:sz="48" w:space="4" w:color="403152" w:themeColor="accent4" w:themeShade="80"/>
        </w:pBd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695AEC0F" wp14:editId="601EFB0D">
                <wp:simplePos x="0" y="0"/>
                <wp:positionH relativeFrom="column">
                  <wp:posOffset>-38100</wp:posOffset>
                </wp:positionH>
                <wp:positionV relativeFrom="paragraph">
                  <wp:posOffset>184149</wp:posOffset>
                </wp:positionV>
                <wp:extent cx="5762625" cy="5267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62625" cy="5267325"/>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pt;margin-top:14.5pt;width:453.75pt;height:4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" fillcolor="#5f497a [2407]" strokecolor="#243f60 [1604]" strokeweight="2pt"/>
            </w:pict>
          </mc:Fallback>
        </mc:AlternateContent>
      </w: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4762C3" w:rsidRDefault="004762C3" w:rsidP="004762C3">
      <w:pPr>
        <w:pBdr>
          <w:top w:val="single" w:sz="48" w:space="1" w:color="403152" w:themeColor="accent4" w:themeShade="80"/>
          <w:left w:val="single" w:sz="48" w:space="4" w:color="403152" w:themeColor="accent4" w:themeShade="80"/>
        </w:pBdr>
      </w:pPr>
    </w:p>
    <w:p w:rsidR="00B74D20" w:rsidRPr="00525182" w:rsidRDefault="00B74D20" w:rsidP="004762C3">
      <w:pPr>
        <w:pBdr>
          <w:top w:val="single" w:sz="48" w:space="1" w:color="403152" w:themeColor="accent4" w:themeShade="80"/>
          <w:left w:val="single" w:sz="48" w:space="4" w:color="403152" w:themeColor="accent4" w:themeShade="80"/>
        </w:pBdr>
        <w:rPr>
          <w:rFonts w:ascii="Arial" w:hAnsi="Arial" w:cs="Arial"/>
          <w:b/>
        </w:rPr>
      </w:pPr>
      <w:r w:rsidRPr="00525182">
        <w:rPr>
          <w:rFonts w:ascii="Arial" w:hAnsi="Arial" w:cs="Arial"/>
          <w:b/>
        </w:rPr>
        <w:lastRenderedPageBreak/>
        <w:t>Report overview</w:t>
      </w:r>
    </w:p>
    <w:p w:rsidR="00B74D20" w:rsidRPr="009B726E" w:rsidRDefault="00B74D20" w:rsidP="004762C3">
      <w:pPr>
        <w:pBdr>
          <w:top w:val="single" w:sz="48" w:space="1" w:color="403152" w:themeColor="accent4" w:themeShade="80"/>
          <w:left w:val="single" w:sz="48" w:space="4" w:color="403152" w:themeColor="accent4" w:themeShade="80"/>
        </w:pBdr>
        <w:rPr>
          <w:rFonts w:ascii="Arial" w:hAnsi="Arial" w:cs="Arial"/>
        </w:rPr>
      </w:pPr>
      <w:r w:rsidRPr="009B726E">
        <w:rPr>
          <w:rFonts w:ascii="Arial" w:hAnsi="Arial" w:cs="Arial"/>
        </w:rPr>
        <w:t>During the years of 2003 to 2007 the final stage closure of Ridge Hill Hospital, a long stay hospital for people with learning disabilities</w:t>
      </w:r>
      <w:r w:rsidR="00525182">
        <w:rPr>
          <w:rFonts w:ascii="Arial" w:hAnsi="Arial" w:cs="Arial"/>
        </w:rPr>
        <w:t>,</w:t>
      </w:r>
      <w:r w:rsidR="00A7428A">
        <w:rPr>
          <w:rFonts w:ascii="Arial" w:hAnsi="Arial" w:cs="Arial"/>
        </w:rPr>
        <w:t xml:space="preserve"> </w:t>
      </w:r>
      <w:r w:rsidRPr="009B726E">
        <w:rPr>
          <w:rFonts w:ascii="Arial" w:hAnsi="Arial" w:cs="Arial"/>
        </w:rPr>
        <w:t xml:space="preserve">took place. </w:t>
      </w:r>
    </w:p>
    <w:p w:rsidR="00B74D20" w:rsidRPr="009B726E" w:rsidRDefault="00525182"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Families, n</w:t>
      </w:r>
      <w:r w:rsidR="00B74D20" w:rsidRPr="009B726E">
        <w:rPr>
          <w:rFonts w:ascii="Arial" w:hAnsi="Arial" w:cs="Arial"/>
        </w:rPr>
        <w:t>ursing staff, health professionals, new care providers</w:t>
      </w:r>
      <w:r w:rsidR="00860759" w:rsidRPr="009B726E">
        <w:rPr>
          <w:rFonts w:ascii="Arial" w:hAnsi="Arial" w:cs="Arial"/>
        </w:rPr>
        <w:t>, commissioners</w:t>
      </w:r>
      <w:r w:rsidR="00D272C7" w:rsidRPr="009B726E">
        <w:rPr>
          <w:rFonts w:ascii="Arial" w:hAnsi="Arial" w:cs="Arial"/>
        </w:rPr>
        <w:t xml:space="preserve">, </w:t>
      </w:r>
      <w:r w:rsidR="00B74D20" w:rsidRPr="009B726E">
        <w:rPr>
          <w:rFonts w:ascii="Arial" w:hAnsi="Arial" w:cs="Arial"/>
        </w:rPr>
        <w:t>together with Dudley’</w:t>
      </w:r>
      <w:r w:rsidR="009B726E">
        <w:rPr>
          <w:rFonts w:ascii="Arial" w:hAnsi="Arial" w:cs="Arial"/>
        </w:rPr>
        <w:t>s Accommodation and Support T</w:t>
      </w:r>
      <w:r w:rsidR="00A7428A">
        <w:rPr>
          <w:rFonts w:ascii="Arial" w:hAnsi="Arial" w:cs="Arial"/>
        </w:rPr>
        <w:t>eam and</w:t>
      </w:r>
      <w:r>
        <w:rPr>
          <w:rFonts w:ascii="Arial" w:hAnsi="Arial" w:cs="Arial"/>
        </w:rPr>
        <w:t xml:space="preserve"> independent </w:t>
      </w:r>
      <w:r w:rsidR="00A7428A" w:rsidRPr="009B726E">
        <w:rPr>
          <w:rFonts w:ascii="Arial" w:hAnsi="Arial" w:cs="Arial"/>
        </w:rPr>
        <w:t>adv</w:t>
      </w:r>
      <w:r w:rsidR="00A7428A">
        <w:rPr>
          <w:rFonts w:ascii="Arial" w:hAnsi="Arial" w:cs="Arial"/>
        </w:rPr>
        <w:t>ocacy</w:t>
      </w:r>
      <w:r w:rsidR="009537C0">
        <w:rPr>
          <w:rFonts w:ascii="Arial" w:hAnsi="Arial" w:cs="Arial"/>
        </w:rPr>
        <w:t xml:space="preserve"> provided by Dudley Advocacy</w:t>
      </w:r>
      <w:r w:rsidR="00A7428A">
        <w:rPr>
          <w:rFonts w:ascii="Arial" w:hAnsi="Arial" w:cs="Arial"/>
        </w:rPr>
        <w:t xml:space="preserve"> planned</w:t>
      </w:r>
      <w:r w:rsidR="00D272C7" w:rsidRPr="009B726E">
        <w:rPr>
          <w:rFonts w:ascii="Arial" w:hAnsi="Arial" w:cs="Arial"/>
        </w:rPr>
        <w:t xml:space="preserve"> the transition for </w:t>
      </w:r>
      <w:r>
        <w:rPr>
          <w:rFonts w:ascii="Arial" w:hAnsi="Arial" w:cs="Arial"/>
        </w:rPr>
        <w:t xml:space="preserve">the last group of </w:t>
      </w:r>
      <w:r w:rsidRPr="009B726E">
        <w:rPr>
          <w:rFonts w:ascii="Arial" w:hAnsi="Arial" w:cs="Arial"/>
        </w:rPr>
        <w:t>individuals</w:t>
      </w:r>
      <w:r w:rsidR="00A7428A">
        <w:rPr>
          <w:rFonts w:ascii="Arial" w:hAnsi="Arial" w:cs="Arial"/>
        </w:rPr>
        <w:t xml:space="preserve"> </w:t>
      </w:r>
      <w:r>
        <w:rPr>
          <w:rFonts w:ascii="Arial" w:hAnsi="Arial" w:cs="Arial"/>
        </w:rPr>
        <w:t>t</w:t>
      </w:r>
      <w:r w:rsidR="00D272C7" w:rsidRPr="009B726E">
        <w:rPr>
          <w:rFonts w:ascii="Arial" w:hAnsi="Arial" w:cs="Arial"/>
        </w:rPr>
        <w:t>o move from the long stay hospital into their own homes</w:t>
      </w:r>
      <w:r w:rsidR="00A7428A">
        <w:rPr>
          <w:rFonts w:ascii="Arial" w:hAnsi="Arial" w:cs="Arial"/>
        </w:rPr>
        <w:t>, which was</w:t>
      </w:r>
      <w:r>
        <w:rPr>
          <w:rFonts w:ascii="Arial" w:hAnsi="Arial" w:cs="Arial"/>
        </w:rPr>
        <w:t xml:space="preserve"> supported living or residential care </w:t>
      </w:r>
      <w:r w:rsidR="00D272C7" w:rsidRPr="009B726E">
        <w:rPr>
          <w:rFonts w:ascii="Arial" w:hAnsi="Arial" w:cs="Arial"/>
        </w:rPr>
        <w:t>in the community.</w:t>
      </w:r>
    </w:p>
    <w:p w:rsidR="009B726E" w:rsidRDefault="00B74D20" w:rsidP="004762C3">
      <w:pPr>
        <w:pBdr>
          <w:top w:val="single" w:sz="48" w:space="1" w:color="403152" w:themeColor="accent4" w:themeShade="80"/>
          <w:left w:val="single" w:sz="48" w:space="4" w:color="403152" w:themeColor="accent4" w:themeShade="80"/>
        </w:pBdr>
        <w:rPr>
          <w:rFonts w:ascii="Arial" w:hAnsi="Arial" w:cs="Arial"/>
        </w:rPr>
      </w:pPr>
      <w:r w:rsidRPr="009B726E">
        <w:rPr>
          <w:rFonts w:ascii="Arial" w:hAnsi="Arial" w:cs="Arial"/>
        </w:rPr>
        <w:t>This report</w:t>
      </w:r>
      <w:r w:rsidR="009B726E">
        <w:rPr>
          <w:rFonts w:ascii="Arial" w:hAnsi="Arial" w:cs="Arial"/>
        </w:rPr>
        <w:t xml:space="preserve"> was underta</w:t>
      </w:r>
      <w:r w:rsidR="00A674F2">
        <w:rPr>
          <w:rFonts w:ascii="Arial" w:hAnsi="Arial" w:cs="Arial"/>
        </w:rPr>
        <w:t>ken</w:t>
      </w:r>
      <w:r w:rsidR="00F3748E">
        <w:rPr>
          <w:rFonts w:ascii="Arial" w:hAnsi="Arial" w:cs="Arial"/>
        </w:rPr>
        <w:t xml:space="preserve"> from January to April</w:t>
      </w:r>
      <w:r w:rsidR="00D272C7" w:rsidRPr="009B726E">
        <w:rPr>
          <w:rFonts w:ascii="Arial" w:hAnsi="Arial" w:cs="Arial"/>
        </w:rPr>
        <w:t xml:space="preserve"> 2013</w:t>
      </w:r>
      <w:r w:rsidR="00A7428A">
        <w:rPr>
          <w:rFonts w:ascii="Arial" w:hAnsi="Arial" w:cs="Arial"/>
        </w:rPr>
        <w:t>,</w:t>
      </w:r>
      <w:r w:rsidR="00D272C7" w:rsidRPr="009B726E">
        <w:rPr>
          <w:rFonts w:ascii="Arial" w:hAnsi="Arial" w:cs="Arial"/>
        </w:rPr>
        <w:t xml:space="preserve"> by Gill Hammett from Dudley Advocacy</w:t>
      </w:r>
      <w:r w:rsidR="002949AA">
        <w:rPr>
          <w:rFonts w:ascii="Arial" w:hAnsi="Arial" w:cs="Arial"/>
        </w:rPr>
        <w:t>,</w:t>
      </w:r>
      <w:r w:rsidR="00483DBB">
        <w:rPr>
          <w:rFonts w:ascii="Arial" w:hAnsi="Arial" w:cs="Arial"/>
        </w:rPr>
        <w:t xml:space="preserve"> </w:t>
      </w:r>
      <w:r w:rsidR="00117BD3">
        <w:rPr>
          <w:rFonts w:ascii="Arial" w:hAnsi="Arial" w:cs="Arial"/>
        </w:rPr>
        <w:t>the o</w:t>
      </w:r>
      <w:r w:rsidR="002949AA">
        <w:rPr>
          <w:rFonts w:ascii="Arial" w:hAnsi="Arial" w:cs="Arial"/>
        </w:rPr>
        <w:t xml:space="preserve">riginal independent advocate </w:t>
      </w:r>
      <w:r w:rsidR="00D272C7" w:rsidRPr="009B726E">
        <w:rPr>
          <w:rFonts w:ascii="Arial" w:hAnsi="Arial" w:cs="Arial"/>
        </w:rPr>
        <w:t>commissioned to provide support to the peo</w:t>
      </w:r>
      <w:r w:rsidR="009B726E">
        <w:rPr>
          <w:rFonts w:ascii="Arial" w:hAnsi="Arial" w:cs="Arial"/>
        </w:rPr>
        <w:t xml:space="preserve">ple leaving Ridge Hill </w:t>
      </w:r>
      <w:r w:rsidR="00A7428A">
        <w:rPr>
          <w:rFonts w:ascii="Arial" w:hAnsi="Arial" w:cs="Arial"/>
        </w:rPr>
        <w:t>ho</w:t>
      </w:r>
      <w:r w:rsidR="00117BD3">
        <w:rPr>
          <w:rFonts w:ascii="Arial" w:hAnsi="Arial" w:cs="Arial"/>
        </w:rPr>
        <w:t xml:space="preserve">spital during the closure. Gill </w:t>
      </w:r>
      <w:r w:rsidR="009B726E">
        <w:rPr>
          <w:rFonts w:ascii="Arial" w:hAnsi="Arial" w:cs="Arial"/>
        </w:rPr>
        <w:t xml:space="preserve">returned to meet with </w:t>
      </w:r>
      <w:r w:rsidR="00C610BB">
        <w:rPr>
          <w:rFonts w:ascii="Arial" w:hAnsi="Arial" w:cs="Arial"/>
        </w:rPr>
        <w:t>the remaining 23</w:t>
      </w:r>
      <w:r w:rsidR="00525182">
        <w:rPr>
          <w:rFonts w:ascii="Arial" w:hAnsi="Arial" w:cs="Arial"/>
        </w:rPr>
        <w:t xml:space="preserve"> people</w:t>
      </w:r>
      <w:r w:rsidR="00C610BB">
        <w:rPr>
          <w:rFonts w:ascii="Arial" w:hAnsi="Arial" w:cs="Arial"/>
        </w:rPr>
        <w:t xml:space="preserve"> and their families</w:t>
      </w:r>
      <w:r w:rsidR="00525182">
        <w:rPr>
          <w:rFonts w:ascii="Arial" w:hAnsi="Arial" w:cs="Arial"/>
        </w:rPr>
        <w:t xml:space="preserve"> </w:t>
      </w:r>
      <w:r w:rsidR="009B726E">
        <w:rPr>
          <w:rFonts w:ascii="Arial" w:hAnsi="Arial" w:cs="Arial"/>
        </w:rPr>
        <w:t>as part of this report.</w:t>
      </w:r>
    </w:p>
    <w:p w:rsidR="004C471D" w:rsidRDefault="00117BD3" w:rsidP="00483DBB">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To ensure</w:t>
      </w:r>
      <w:r w:rsidR="009B726E">
        <w:rPr>
          <w:rFonts w:ascii="Arial" w:hAnsi="Arial" w:cs="Arial"/>
        </w:rPr>
        <w:t xml:space="preserve"> a wide rang</w:t>
      </w:r>
      <w:r w:rsidR="00483DBB">
        <w:rPr>
          <w:rFonts w:ascii="Arial" w:hAnsi="Arial" w:cs="Arial"/>
        </w:rPr>
        <w:t>e of comments and comparisons</w:t>
      </w:r>
      <w:r>
        <w:rPr>
          <w:rFonts w:ascii="Arial" w:hAnsi="Arial" w:cs="Arial"/>
        </w:rPr>
        <w:t xml:space="preserve"> were </w:t>
      </w:r>
      <w:r w:rsidR="00D3099D">
        <w:rPr>
          <w:rFonts w:ascii="Arial" w:hAnsi="Arial" w:cs="Arial"/>
        </w:rPr>
        <w:t>captured a</w:t>
      </w:r>
      <w:r w:rsidR="009B726E">
        <w:rPr>
          <w:rFonts w:ascii="Arial" w:hAnsi="Arial" w:cs="Arial"/>
        </w:rPr>
        <w:t xml:space="preserve"> </w:t>
      </w:r>
      <w:r w:rsidR="00525182">
        <w:rPr>
          <w:rFonts w:ascii="Arial" w:hAnsi="Arial" w:cs="Arial"/>
        </w:rPr>
        <w:t>questionnaire</w:t>
      </w:r>
      <w:r>
        <w:rPr>
          <w:rFonts w:ascii="Arial" w:hAnsi="Arial" w:cs="Arial"/>
        </w:rPr>
        <w:t xml:space="preserve"> was used</w:t>
      </w:r>
      <w:r w:rsidR="00F3748E">
        <w:rPr>
          <w:rFonts w:ascii="Arial" w:hAnsi="Arial" w:cs="Arial"/>
        </w:rPr>
        <w:t xml:space="preserve"> </w:t>
      </w:r>
      <w:r w:rsidR="00E57340">
        <w:rPr>
          <w:rFonts w:ascii="Arial" w:hAnsi="Arial" w:cs="Arial"/>
        </w:rPr>
        <w:t xml:space="preserve">for each interview. </w:t>
      </w:r>
      <w:r>
        <w:rPr>
          <w:rFonts w:ascii="Arial" w:hAnsi="Arial" w:cs="Arial"/>
        </w:rPr>
        <w:t xml:space="preserve">The </w:t>
      </w:r>
      <w:r w:rsidR="00E57340">
        <w:rPr>
          <w:rFonts w:ascii="Arial" w:hAnsi="Arial" w:cs="Arial"/>
        </w:rPr>
        <w:t xml:space="preserve">following </w:t>
      </w:r>
      <w:r w:rsidR="00F3748E">
        <w:rPr>
          <w:rFonts w:ascii="Arial" w:hAnsi="Arial" w:cs="Arial"/>
        </w:rPr>
        <w:t>topics</w:t>
      </w:r>
      <w:r>
        <w:rPr>
          <w:rFonts w:ascii="Arial" w:hAnsi="Arial" w:cs="Arial"/>
        </w:rPr>
        <w:t xml:space="preserve"> were covered</w:t>
      </w:r>
      <w:r w:rsidR="003D43DB">
        <w:rPr>
          <w:rFonts w:ascii="Arial" w:hAnsi="Arial" w:cs="Arial"/>
        </w:rPr>
        <w:t>:</w:t>
      </w:r>
      <w:r w:rsidR="003D43DB">
        <w:rPr>
          <w:rFonts w:ascii="Arial" w:hAnsi="Arial" w:cs="Arial"/>
        </w:rPr>
        <w:tab/>
      </w:r>
    </w:p>
    <w:p w:rsidR="004C471D" w:rsidRDefault="004C471D" w:rsidP="004C471D">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           </w:t>
      </w:r>
      <w:r w:rsidR="00483DBB">
        <w:rPr>
          <w:rFonts w:ascii="Arial" w:hAnsi="Arial" w:cs="Arial"/>
        </w:rPr>
        <w:t>Community</w:t>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E57340">
        <w:rPr>
          <w:rFonts w:ascii="Arial" w:hAnsi="Arial" w:cs="Arial"/>
        </w:rPr>
        <w:tab/>
      </w:r>
      <w:r w:rsidR="00F3748E">
        <w:rPr>
          <w:rFonts w:ascii="Arial" w:hAnsi="Arial" w:cs="Arial"/>
        </w:rPr>
        <w:t>Independence</w:t>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E57340">
        <w:rPr>
          <w:rFonts w:ascii="Arial" w:hAnsi="Arial" w:cs="Arial"/>
        </w:rPr>
        <w:tab/>
      </w:r>
      <w:r w:rsidR="00483DBB">
        <w:rPr>
          <w:rFonts w:ascii="Arial" w:hAnsi="Arial" w:cs="Arial"/>
        </w:rPr>
        <w:t>Transport</w:t>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t>Housing</w:t>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t>Safety</w:t>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t>Health</w:t>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t>Money</w:t>
      </w:r>
      <w:r w:rsidR="00483DBB">
        <w:rPr>
          <w:rFonts w:ascii="Arial" w:hAnsi="Arial" w:cs="Arial"/>
        </w:rPr>
        <w:tab/>
      </w:r>
      <w:r w:rsidR="00483DBB">
        <w:rPr>
          <w:rFonts w:ascii="Arial" w:hAnsi="Arial" w:cs="Arial"/>
        </w:rPr>
        <w:tab/>
      </w:r>
      <w:r w:rsidR="00483DBB">
        <w:rPr>
          <w:rFonts w:ascii="Arial" w:hAnsi="Arial" w:cs="Arial"/>
        </w:rPr>
        <w:tab/>
      </w:r>
      <w:r w:rsidR="00483DBB">
        <w:rPr>
          <w:rFonts w:ascii="Arial" w:hAnsi="Arial" w:cs="Arial"/>
        </w:rPr>
        <w:tab/>
      </w:r>
      <w:r w:rsidR="003D43DB">
        <w:rPr>
          <w:rFonts w:ascii="Arial" w:hAnsi="Arial" w:cs="Arial"/>
        </w:rPr>
        <w:tab/>
        <w:t xml:space="preserve">          </w:t>
      </w:r>
    </w:p>
    <w:p w:rsidR="00D272C7" w:rsidRDefault="00A7428A" w:rsidP="004C471D">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Within each subject</w:t>
      </w:r>
      <w:r w:rsidR="009B726E">
        <w:rPr>
          <w:rFonts w:ascii="Arial" w:hAnsi="Arial" w:cs="Arial"/>
        </w:rPr>
        <w:t xml:space="preserve"> we have provided comments </w:t>
      </w:r>
      <w:r w:rsidR="006B1F87">
        <w:rPr>
          <w:rFonts w:ascii="Arial" w:hAnsi="Arial" w:cs="Arial"/>
        </w:rPr>
        <w:t>obtained</w:t>
      </w:r>
      <w:r w:rsidR="00525182">
        <w:rPr>
          <w:rFonts w:ascii="Arial" w:hAnsi="Arial" w:cs="Arial"/>
        </w:rPr>
        <w:t xml:space="preserve"> during the interviews and in addition a chart showing the scores given to indicate t</w:t>
      </w:r>
      <w:r w:rsidR="00AE7C9B">
        <w:rPr>
          <w:rFonts w:ascii="Arial" w:hAnsi="Arial" w:cs="Arial"/>
        </w:rPr>
        <w:t xml:space="preserve">he differences between </w:t>
      </w:r>
      <w:proofErr w:type="gramStart"/>
      <w:r w:rsidR="00525182">
        <w:rPr>
          <w:rFonts w:ascii="Arial" w:hAnsi="Arial" w:cs="Arial"/>
        </w:rPr>
        <w:t>living</w:t>
      </w:r>
      <w:proofErr w:type="gramEnd"/>
      <w:r w:rsidR="00AE7C9B">
        <w:rPr>
          <w:rFonts w:ascii="Arial" w:hAnsi="Arial" w:cs="Arial"/>
        </w:rPr>
        <w:t xml:space="preserve"> in a long stay hospital</w:t>
      </w:r>
      <w:r w:rsidR="00525182">
        <w:rPr>
          <w:rFonts w:ascii="Arial" w:hAnsi="Arial" w:cs="Arial"/>
        </w:rPr>
        <w:t xml:space="preserve"> compared to life now in the community.</w:t>
      </w:r>
    </w:p>
    <w:p w:rsidR="004B6C8B" w:rsidRDefault="009537C0" w:rsidP="002949AA">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The Interviews took place in people’s homes alongside their support staff</w:t>
      </w:r>
      <w:r w:rsidR="00E57340">
        <w:rPr>
          <w:rFonts w:ascii="Arial" w:hAnsi="Arial" w:cs="Arial"/>
        </w:rPr>
        <w:t xml:space="preserve"> or family member where possible T</w:t>
      </w:r>
      <w:r>
        <w:rPr>
          <w:rFonts w:ascii="Arial" w:hAnsi="Arial" w:cs="Arial"/>
        </w:rPr>
        <w:t xml:space="preserve">his gave them the opportunity to give better accounts and share some of the examples quoted in this report </w:t>
      </w:r>
      <w:r w:rsidR="00E57340">
        <w:rPr>
          <w:rFonts w:ascii="Arial" w:hAnsi="Arial" w:cs="Arial"/>
        </w:rPr>
        <w:t>.</w:t>
      </w:r>
      <w:r w:rsidR="003D43DB">
        <w:rPr>
          <w:rFonts w:ascii="Arial" w:hAnsi="Arial" w:cs="Arial"/>
        </w:rPr>
        <w:t>O</w:t>
      </w:r>
      <w:r w:rsidR="00483DBB">
        <w:rPr>
          <w:rFonts w:ascii="Arial" w:hAnsi="Arial" w:cs="Arial"/>
        </w:rPr>
        <w:t>ver three</w:t>
      </w:r>
      <w:r w:rsidR="00F3748E">
        <w:rPr>
          <w:rFonts w:ascii="Arial" w:hAnsi="Arial" w:cs="Arial"/>
        </w:rPr>
        <w:t xml:space="preserve"> </w:t>
      </w:r>
      <w:r w:rsidR="003D43DB">
        <w:rPr>
          <w:rFonts w:ascii="Arial" w:hAnsi="Arial" w:cs="Arial"/>
        </w:rPr>
        <w:t>months we involved</w:t>
      </w:r>
      <w:r w:rsidR="00C610BB">
        <w:rPr>
          <w:rFonts w:ascii="Arial" w:hAnsi="Arial" w:cs="Arial"/>
        </w:rPr>
        <w:t xml:space="preserve"> individuals,</w:t>
      </w:r>
      <w:r w:rsidR="00CA343A" w:rsidRPr="00CA343A">
        <w:rPr>
          <w:rFonts w:ascii="Arial" w:hAnsi="Arial" w:cs="Arial"/>
        </w:rPr>
        <w:t xml:space="preserve"> </w:t>
      </w:r>
      <w:r w:rsidR="00CA343A">
        <w:rPr>
          <w:rFonts w:ascii="Arial" w:hAnsi="Arial" w:cs="Arial"/>
        </w:rPr>
        <w:t>families and health professionals</w:t>
      </w:r>
      <w:r w:rsidR="00C610BB">
        <w:rPr>
          <w:rFonts w:ascii="Arial" w:hAnsi="Arial" w:cs="Arial"/>
        </w:rPr>
        <w:t>,</w:t>
      </w:r>
      <w:r w:rsidR="00CA343A">
        <w:rPr>
          <w:rFonts w:ascii="Arial" w:hAnsi="Arial" w:cs="Arial"/>
        </w:rPr>
        <w:t xml:space="preserve"> as well as</w:t>
      </w:r>
      <w:r w:rsidR="00525182">
        <w:rPr>
          <w:rFonts w:ascii="Arial" w:hAnsi="Arial" w:cs="Arial"/>
        </w:rPr>
        <w:t xml:space="preserve"> support staff from the two commissioned providers, Lifeway’</w:t>
      </w:r>
      <w:r w:rsidR="00853EEE">
        <w:rPr>
          <w:rFonts w:ascii="Arial" w:hAnsi="Arial" w:cs="Arial"/>
        </w:rPr>
        <w:t xml:space="preserve">s and </w:t>
      </w:r>
      <w:r w:rsidR="004B6C8B">
        <w:rPr>
          <w:rFonts w:ascii="Arial" w:hAnsi="Arial" w:cs="Arial"/>
        </w:rPr>
        <w:t xml:space="preserve">Trident. </w:t>
      </w:r>
      <w:r w:rsidR="00A7428A">
        <w:rPr>
          <w:rFonts w:ascii="Arial" w:hAnsi="Arial" w:cs="Arial"/>
        </w:rPr>
        <w:t xml:space="preserve">Many </w:t>
      </w:r>
      <w:r w:rsidR="00853EEE">
        <w:rPr>
          <w:rFonts w:ascii="Arial" w:hAnsi="Arial" w:cs="Arial"/>
        </w:rPr>
        <w:t>TUPE</w:t>
      </w:r>
      <w:r w:rsidR="002949AA">
        <w:rPr>
          <w:rFonts w:ascii="Arial" w:hAnsi="Arial" w:cs="Arial"/>
        </w:rPr>
        <w:t xml:space="preserve"> (Transfer of Undertakings </w:t>
      </w:r>
      <w:r w:rsidR="002949AA" w:rsidRPr="002949AA">
        <w:rPr>
          <w:rFonts w:ascii="Arial" w:hAnsi="Arial" w:cs="Arial"/>
        </w:rPr>
        <w:t>Protection of Employment)</w:t>
      </w:r>
      <w:r w:rsidR="00853EEE">
        <w:rPr>
          <w:rFonts w:ascii="Arial" w:hAnsi="Arial" w:cs="Arial"/>
        </w:rPr>
        <w:t xml:space="preserve"> staff from Ridge Hill moved over to the new providers, </w:t>
      </w:r>
      <w:r w:rsidR="00A7428A">
        <w:rPr>
          <w:rFonts w:ascii="Arial" w:hAnsi="Arial" w:cs="Arial"/>
        </w:rPr>
        <w:t xml:space="preserve">so </w:t>
      </w:r>
      <w:r w:rsidR="00853EEE">
        <w:rPr>
          <w:rFonts w:ascii="Arial" w:hAnsi="Arial" w:cs="Arial"/>
        </w:rPr>
        <w:t>where possible we met with thes</w:t>
      </w:r>
      <w:r w:rsidR="00CA343A">
        <w:rPr>
          <w:rFonts w:ascii="Arial" w:hAnsi="Arial" w:cs="Arial"/>
        </w:rPr>
        <w:t>e as they would be able to remember</w:t>
      </w:r>
      <w:r w:rsidR="00A7428A">
        <w:rPr>
          <w:rFonts w:ascii="Arial" w:hAnsi="Arial" w:cs="Arial"/>
        </w:rPr>
        <w:t xml:space="preserve"> </w:t>
      </w:r>
      <w:r w:rsidR="004B6C8B">
        <w:rPr>
          <w:rFonts w:ascii="Arial" w:hAnsi="Arial" w:cs="Arial"/>
        </w:rPr>
        <w:t>life at the hospital</w:t>
      </w:r>
      <w:r w:rsidR="00CA343A">
        <w:rPr>
          <w:rFonts w:ascii="Arial" w:hAnsi="Arial" w:cs="Arial"/>
        </w:rPr>
        <w:t xml:space="preserve"> and give better comparisons. </w:t>
      </w:r>
    </w:p>
    <w:p w:rsidR="00483DBB" w:rsidRDefault="00CA343A" w:rsidP="00EF4658">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Due to the level of learning disability of most individuals being moderate to severe we were only able to interview </w:t>
      </w:r>
      <w:r w:rsidR="00CB293D">
        <w:rPr>
          <w:rFonts w:ascii="Arial" w:hAnsi="Arial" w:cs="Arial"/>
        </w:rPr>
        <w:t>three who</w:t>
      </w:r>
      <w:r>
        <w:rPr>
          <w:rFonts w:ascii="Arial" w:hAnsi="Arial" w:cs="Arial"/>
        </w:rPr>
        <w:t xml:space="preserve"> had the ability to communicate some of their</w:t>
      </w:r>
      <w:r w:rsidR="004B6C8B">
        <w:rPr>
          <w:rFonts w:ascii="Arial" w:hAnsi="Arial" w:cs="Arial"/>
        </w:rPr>
        <w:t xml:space="preserve"> views</w:t>
      </w:r>
      <w:r>
        <w:rPr>
          <w:rFonts w:ascii="Arial" w:hAnsi="Arial" w:cs="Arial"/>
        </w:rPr>
        <w:t xml:space="preserve">. All other information was gained through </w:t>
      </w:r>
      <w:r w:rsidR="004B6C8B">
        <w:rPr>
          <w:rFonts w:ascii="Arial" w:hAnsi="Arial" w:cs="Arial"/>
        </w:rPr>
        <w:t>a</w:t>
      </w:r>
      <w:r>
        <w:rPr>
          <w:rFonts w:ascii="Arial" w:hAnsi="Arial" w:cs="Arial"/>
        </w:rPr>
        <w:t xml:space="preserve"> support </w:t>
      </w:r>
      <w:r w:rsidR="004B6C8B">
        <w:rPr>
          <w:rFonts w:ascii="Arial" w:hAnsi="Arial" w:cs="Arial"/>
        </w:rPr>
        <w:t>worker,</w:t>
      </w:r>
      <w:r>
        <w:rPr>
          <w:rFonts w:ascii="Arial" w:hAnsi="Arial" w:cs="Arial"/>
        </w:rPr>
        <w:t xml:space="preserve"> family member or </w:t>
      </w:r>
      <w:r w:rsidR="004B6C8B">
        <w:rPr>
          <w:rFonts w:ascii="Arial" w:hAnsi="Arial" w:cs="Arial"/>
        </w:rPr>
        <w:t>health</w:t>
      </w:r>
      <w:r>
        <w:rPr>
          <w:rFonts w:ascii="Arial" w:hAnsi="Arial" w:cs="Arial"/>
        </w:rPr>
        <w:t xml:space="preserve"> professional.</w:t>
      </w:r>
      <w:r w:rsidR="00EF4658" w:rsidRPr="00EF4658">
        <w:rPr>
          <w:rFonts w:ascii="Arial" w:hAnsi="Arial" w:cs="Arial"/>
        </w:rPr>
        <w:t xml:space="preserve"> </w:t>
      </w:r>
      <w:r w:rsidR="00483DBB">
        <w:rPr>
          <w:rFonts w:ascii="Arial" w:hAnsi="Arial" w:cs="Arial"/>
        </w:rPr>
        <w:t>While visiting eac</w:t>
      </w:r>
      <w:r w:rsidR="00117BD3">
        <w:rPr>
          <w:rFonts w:ascii="Arial" w:hAnsi="Arial" w:cs="Arial"/>
        </w:rPr>
        <w:t>h individual</w:t>
      </w:r>
      <w:r w:rsidR="00483DBB">
        <w:rPr>
          <w:rFonts w:ascii="Arial" w:hAnsi="Arial" w:cs="Arial"/>
        </w:rPr>
        <w:t xml:space="preserve"> </w:t>
      </w:r>
      <w:r w:rsidR="003D43DB">
        <w:rPr>
          <w:rFonts w:ascii="Arial" w:hAnsi="Arial" w:cs="Arial"/>
        </w:rPr>
        <w:t>n</w:t>
      </w:r>
      <w:r w:rsidR="00483DBB">
        <w:rPr>
          <w:rFonts w:ascii="Arial" w:hAnsi="Arial" w:cs="Arial"/>
        </w:rPr>
        <w:t>on-instructed advocacy</w:t>
      </w:r>
      <w:r w:rsidR="00117BD3">
        <w:rPr>
          <w:rFonts w:ascii="Arial" w:hAnsi="Arial" w:cs="Arial"/>
        </w:rPr>
        <w:t xml:space="preserve"> was used</w:t>
      </w:r>
      <w:r w:rsidR="00483DBB">
        <w:rPr>
          <w:rFonts w:ascii="Arial" w:hAnsi="Arial" w:cs="Arial"/>
        </w:rPr>
        <w:t xml:space="preserve"> to </w:t>
      </w:r>
      <w:r w:rsidR="00CD16EC">
        <w:rPr>
          <w:rFonts w:ascii="Arial" w:hAnsi="Arial" w:cs="Arial"/>
        </w:rPr>
        <w:t xml:space="preserve">observe each person to add to the evidence. And since the report there </w:t>
      </w:r>
      <w:proofErr w:type="gramStart"/>
      <w:r w:rsidR="00CD16EC">
        <w:rPr>
          <w:rFonts w:ascii="Arial" w:hAnsi="Arial" w:cs="Arial"/>
        </w:rPr>
        <w:t>has</w:t>
      </w:r>
      <w:proofErr w:type="gramEnd"/>
      <w:r w:rsidR="00CD16EC">
        <w:rPr>
          <w:rFonts w:ascii="Arial" w:hAnsi="Arial" w:cs="Arial"/>
        </w:rPr>
        <w:t xml:space="preserve"> been</w:t>
      </w:r>
      <w:r w:rsidR="00483DBB">
        <w:rPr>
          <w:rFonts w:ascii="Arial" w:hAnsi="Arial" w:cs="Arial"/>
        </w:rPr>
        <w:t xml:space="preserve"> a total of </w:t>
      </w:r>
      <w:r w:rsidR="00CD16EC">
        <w:rPr>
          <w:rFonts w:ascii="Arial" w:hAnsi="Arial" w:cs="Arial"/>
        </w:rPr>
        <w:t>7</w:t>
      </w:r>
      <w:r w:rsidR="003D43DB">
        <w:rPr>
          <w:rFonts w:ascii="Arial" w:hAnsi="Arial" w:cs="Arial"/>
        </w:rPr>
        <w:t xml:space="preserve"> </w:t>
      </w:r>
      <w:r w:rsidR="00A030DE">
        <w:rPr>
          <w:rFonts w:ascii="Arial" w:hAnsi="Arial" w:cs="Arial"/>
        </w:rPr>
        <w:t xml:space="preserve">extra </w:t>
      </w:r>
      <w:r w:rsidR="003D43DB">
        <w:rPr>
          <w:rFonts w:ascii="Arial" w:hAnsi="Arial" w:cs="Arial"/>
        </w:rPr>
        <w:t>referrals to the advocacy service.</w:t>
      </w:r>
    </w:p>
    <w:p w:rsidR="004762C3" w:rsidRPr="009B726E" w:rsidRDefault="00E44051"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w:t>
      </w:r>
      <w:r w:rsidR="00EF4658">
        <w:rPr>
          <w:rFonts w:ascii="Arial" w:hAnsi="Arial" w:cs="Arial"/>
        </w:rPr>
        <w:t xml:space="preserve">Please note that all graphs taken from the questionnaire show scoring of </w:t>
      </w:r>
      <w:r>
        <w:rPr>
          <w:rFonts w:ascii="Arial" w:hAnsi="Arial" w:cs="Arial"/>
        </w:rPr>
        <w:t xml:space="preserve">                       </w:t>
      </w:r>
      <w:r w:rsidR="00EF4658">
        <w:rPr>
          <w:rFonts w:ascii="Arial" w:hAnsi="Arial" w:cs="Arial"/>
        </w:rPr>
        <w:t>poor =1 to great =5 with numbers on the lower line representing the 23 individuals who took part in the survey.</w:t>
      </w:r>
      <w:r w:rsidR="004C471D">
        <w:rPr>
          <w:rFonts w:ascii="Arial" w:hAnsi="Arial" w:cs="Arial"/>
        </w:rPr>
        <w:t xml:space="preserve"> </w:t>
      </w:r>
      <w:r w:rsidR="004B6C8B">
        <w:rPr>
          <w:rFonts w:ascii="Arial" w:hAnsi="Arial" w:cs="Arial"/>
        </w:rPr>
        <w:t>Accompanying this repor</w:t>
      </w:r>
      <w:r w:rsidR="00F60FC2">
        <w:rPr>
          <w:rFonts w:ascii="Arial" w:hAnsi="Arial" w:cs="Arial"/>
        </w:rPr>
        <w:t xml:space="preserve">t is an easy accessible </w:t>
      </w:r>
      <w:r w:rsidR="00483DBB">
        <w:rPr>
          <w:rFonts w:ascii="Arial" w:hAnsi="Arial" w:cs="Arial"/>
        </w:rPr>
        <w:t>version</w:t>
      </w:r>
      <w:r w:rsidR="00F60FC2">
        <w:rPr>
          <w:rFonts w:ascii="Arial" w:hAnsi="Arial" w:cs="Arial"/>
        </w:rPr>
        <w:t>.</w:t>
      </w:r>
    </w:p>
    <w:p w:rsidR="00551FD7" w:rsidRPr="0046671C" w:rsidRDefault="00551FD7" w:rsidP="004762C3">
      <w:pPr>
        <w:pBdr>
          <w:top w:val="single" w:sz="48" w:space="1" w:color="403152" w:themeColor="accent4" w:themeShade="80"/>
          <w:left w:val="single" w:sz="48" w:space="4" w:color="403152" w:themeColor="accent4" w:themeShade="80"/>
        </w:pBdr>
        <w:rPr>
          <w:rFonts w:ascii="Arial" w:hAnsi="Arial" w:cs="Arial"/>
          <w:b/>
        </w:rPr>
      </w:pPr>
      <w:r w:rsidRPr="0046671C">
        <w:rPr>
          <w:rFonts w:ascii="Arial" w:hAnsi="Arial" w:cs="Arial"/>
          <w:b/>
        </w:rPr>
        <w:lastRenderedPageBreak/>
        <w:t>Community Life</w:t>
      </w:r>
    </w:p>
    <w:p w:rsidR="00551FD7" w:rsidRDefault="0046671C" w:rsidP="004762C3">
      <w:pPr>
        <w:pBdr>
          <w:top w:val="single" w:sz="48" w:space="1" w:color="403152" w:themeColor="accent4" w:themeShade="80"/>
          <w:left w:val="single" w:sz="48" w:space="4" w:color="403152" w:themeColor="accent4" w:themeShade="80"/>
        </w:pBdr>
        <w:rPr>
          <w:rFonts w:ascii="Arial" w:hAnsi="Arial" w:cs="Arial"/>
          <w:b/>
        </w:rPr>
      </w:pPr>
      <w:r w:rsidRPr="0046671C">
        <w:rPr>
          <w:rFonts w:ascii="Arial" w:hAnsi="Arial" w:cs="Arial"/>
          <w:b/>
        </w:rPr>
        <w:t>We asked people</w:t>
      </w:r>
      <w:r w:rsidR="00CB4378">
        <w:rPr>
          <w:rFonts w:ascii="Arial" w:hAnsi="Arial" w:cs="Arial"/>
          <w:b/>
        </w:rPr>
        <w:t>,</w:t>
      </w:r>
      <w:r w:rsidRPr="0046671C">
        <w:rPr>
          <w:rFonts w:ascii="Arial" w:hAnsi="Arial" w:cs="Arial"/>
          <w:b/>
        </w:rPr>
        <w:t xml:space="preserve"> do you or the person you support feel part of the community and asked them to compare community life at Ridge Hill to life now</w:t>
      </w:r>
    </w:p>
    <w:p w:rsidR="0046671C" w:rsidRDefault="00CD16EC"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The individuals that were seen</w:t>
      </w:r>
      <w:r w:rsidR="003D43DB">
        <w:rPr>
          <w:rFonts w:ascii="Arial" w:hAnsi="Arial" w:cs="Arial"/>
        </w:rPr>
        <w:t xml:space="preserve"> took part in </w:t>
      </w:r>
      <w:r w:rsidR="00E57340">
        <w:rPr>
          <w:rFonts w:ascii="Arial" w:hAnsi="Arial" w:cs="Arial"/>
        </w:rPr>
        <w:t>a massive</w:t>
      </w:r>
      <w:r w:rsidR="00CB4378">
        <w:rPr>
          <w:rFonts w:ascii="Arial" w:hAnsi="Arial" w:cs="Arial"/>
        </w:rPr>
        <w:t xml:space="preserve"> range of activities </w:t>
      </w:r>
      <w:r w:rsidR="0046671C">
        <w:rPr>
          <w:rFonts w:ascii="Arial" w:hAnsi="Arial" w:cs="Arial"/>
        </w:rPr>
        <w:t>in the community,</w:t>
      </w:r>
      <w:r w:rsidR="00FB36D4">
        <w:rPr>
          <w:rFonts w:ascii="Arial" w:hAnsi="Arial" w:cs="Arial"/>
        </w:rPr>
        <w:t xml:space="preserve"> some of which are listed below:</w:t>
      </w:r>
      <w:r w:rsidR="0046671C">
        <w:rPr>
          <w:rFonts w:ascii="Arial" w:hAnsi="Arial" w:cs="Arial"/>
        </w:rPr>
        <w:t xml:space="preserve"> </w:t>
      </w:r>
    </w:p>
    <w:p w:rsidR="00D72D9E" w:rsidRDefault="003D43DB" w:rsidP="00D72D9E">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Visits to </w:t>
      </w:r>
      <w:r w:rsidR="0046671C">
        <w:rPr>
          <w:rFonts w:ascii="Arial" w:hAnsi="Arial" w:cs="Arial"/>
        </w:rPr>
        <w:t>Thinktank, steam trains, cinema, theatre</w:t>
      </w:r>
      <w:r>
        <w:rPr>
          <w:rFonts w:ascii="Arial" w:hAnsi="Arial" w:cs="Arial"/>
        </w:rPr>
        <w:t xml:space="preserve"> trips</w:t>
      </w:r>
      <w:r w:rsidR="0046671C">
        <w:rPr>
          <w:rFonts w:ascii="Arial" w:hAnsi="Arial" w:cs="Arial"/>
        </w:rPr>
        <w:t xml:space="preserve">, </w:t>
      </w:r>
      <w:r>
        <w:rPr>
          <w:rFonts w:ascii="Arial" w:hAnsi="Arial" w:cs="Arial"/>
        </w:rPr>
        <w:t xml:space="preserve">undertaking weekly food shopping, jubilee </w:t>
      </w:r>
      <w:r w:rsidR="0046671C">
        <w:rPr>
          <w:rFonts w:ascii="Arial" w:hAnsi="Arial" w:cs="Arial"/>
        </w:rPr>
        <w:t>street party, meals</w:t>
      </w:r>
      <w:r>
        <w:rPr>
          <w:rFonts w:ascii="Arial" w:hAnsi="Arial" w:cs="Arial"/>
        </w:rPr>
        <w:t xml:space="preserve"> out</w:t>
      </w:r>
      <w:r w:rsidR="0046671C">
        <w:rPr>
          <w:rFonts w:ascii="Arial" w:hAnsi="Arial" w:cs="Arial"/>
        </w:rPr>
        <w:t>, gap club, massage therapy, art, bike riding,</w:t>
      </w:r>
      <w:r w:rsidR="00CB4378">
        <w:rPr>
          <w:rFonts w:ascii="Arial" w:hAnsi="Arial" w:cs="Arial"/>
        </w:rPr>
        <w:t xml:space="preserve"> fruit picking,</w:t>
      </w:r>
      <w:r w:rsidR="0046671C">
        <w:rPr>
          <w:rFonts w:ascii="Arial" w:hAnsi="Arial" w:cs="Arial"/>
        </w:rPr>
        <w:t xml:space="preserve"> lunch clubs, ch</w:t>
      </w:r>
      <w:r w:rsidR="00CB4378">
        <w:rPr>
          <w:rFonts w:ascii="Arial" w:hAnsi="Arial" w:cs="Arial"/>
        </w:rPr>
        <w:t>urch</w:t>
      </w:r>
      <w:r w:rsidR="00E44051">
        <w:rPr>
          <w:rFonts w:ascii="Arial" w:hAnsi="Arial" w:cs="Arial"/>
        </w:rPr>
        <w:t xml:space="preserve"> groups</w:t>
      </w:r>
      <w:r w:rsidR="00CB4378">
        <w:rPr>
          <w:rFonts w:ascii="Arial" w:hAnsi="Arial" w:cs="Arial"/>
        </w:rPr>
        <w:t xml:space="preserve">, </w:t>
      </w:r>
      <w:r w:rsidR="00E44051">
        <w:rPr>
          <w:rFonts w:ascii="Arial" w:hAnsi="Arial" w:cs="Arial"/>
        </w:rPr>
        <w:t xml:space="preserve">visits to </w:t>
      </w:r>
      <w:r w:rsidR="00CB4378">
        <w:rPr>
          <w:rFonts w:ascii="Arial" w:hAnsi="Arial" w:cs="Arial"/>
        </w:rPr>
        <w:t>Worcester, gym, meeting</w:t>
      </w:r>
      <w:r w:rsidR="0046671C">
        <w:rPr>
          <w:rFonts w:ascii="Arial" w:hAnsi="Arial" w:cs="Arial"/>
        </w:rPr>
        <w:t xml:space="preserve"> family,</w:t>
      </w:r>
      <w:r w:rsidR="00CB4378">
        <w:rPr>
          <w:rFonts w:ascii="Arial" w:hAnsi="Arial" w:cs="Arial"/>
        </w:rPr>
        <w:t xml:space="preserve"> hairdressers, </w:t>
      </w:r>
      <w:r w:rsidR="00FB36D4">
        <w:rPr>
          <w:rFonts w:ascii="Arial" w:hAnsi="Arial" w:cs="Arial"/>
        </w:rPr>
        <w:t>Fish pedicure.</w:t>
      </w:r>
    </w:p>
    <w:p w:rsidR="00D72D9E" w:rsidRDefault="00FB36D4" w:rsidP="00D72D9E">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This list went </w:t>
      </w:r>
      <w:r w:rsidR="00CB4378">
        <w:rPr>
          <w:rFonts w:ascii="Arial" w:hAnsi="Arial" w:cs="Arial"/>
        </w:rPr>
        <w:t>on;</w:t>
      </w:r>
      <w:r>
        <w:rPr>
          <w:rFonts w:ascii="Arial" w:hAnsi="Arial" w:cs="Arial"/>
        </w:rPr>
        <w:t xml:space="preserve"> with people trying new things regularly and looking ou</w:t>
      </w:r>
      <w:r w:rsidR="00E44051">
        <w:rPr>
          <w:rFonts w:ascii="Arial" w:hAnsi="Arial" w:cs="Arial"/>
        </w:rPr>
        <w:t>t for new opportunities. I</w:t>
      </w:r>
      <w:r w:rsidR="00CB4378">
        <w:rPr>
          <w:rFonts w:ascii="Arial" w:hAnsi="Arial" w:cs="Arial"/>
        </w:rPr>
        <w:t>ndividuals were</w:t>
      </w:r>
      <w:r>
        <w:rPr>
          <w:rFonts w:ascii="Arial" w:hAnsi="Arial" w:cs="Arial"/>
        </w:rPr>
        <w:t xml:space="preserve"> recognised</w:t>
      </w:r>
      <w:r w:rsidR="003D43DB">
        <w:rPr>
          <w:rFonts w:ascii="Arial" w:hAnsi="Arial" w:cs="Arial"/>
        </w:rPr>
        <w:t xml:space="preserve"> by services they used by name or for some work</w:t>
      </w:r>
      <w:r w:rsidR="00D72D9E">
        <w:rPr>
          <w:rFonts w:ascii="Arial" w:hAnsi="Arial" w:cs="Arial"/>
        </w:rPr>
        <w:t xml:space="preserve">ers areas in </w:t>
      </w:r>
      <w:r w:rsidR="003D43DB">
        <w:rPr>
          <w:rFonts w:ascii="Arial" w:hAnsi="Arial" w:cs="Arial"/>
        </w:rPr>
        <w:t xml:space="preserve">retail they had become regular recognised customers to shops </w:t>
      </w:r>
      <w:r>
        <w:rPr>
          <w:rFonts w:ascii="Arial" w:hAnsi="Arial" w:cs="Arial"/>
        </w:rPr>
        <w:t xml:space="preserve">and </w:t>
      </w:r>
      <w:r w:rsidR="003D43DB">
        <w:rPr>
          <w:rFonts w:ascii="Arial" w:hAnsi="Arial" w:cs="Arial"/>
        </w:rPr>
        <w:t xml:space="preserve">therefore </w:t>
      </w:r>
      <w:r>
        <w:rPr>
          <w:rFonts w:ascii="Arial" w:hAnsi="Arial" w:cs="Arial"/>
        </w:rPr>
        <w:t>acknowledged as members of their community.</w:t>
      </w:r>
      <w:r w:rsidR="00D72D9E" w:rsidRPr="00D72D9E">
        <w:rPr>
          <w:rFonts w:ascii="Arial" w:hAnsi="Arial" w:cs="Arial"/>
        </w:rPr>
        <w:t xml:space="preserve"> </w:t>
      </w:r>
      <w:r w:rsidR="00D72D9E">
        <w:rPr>
          <w:rFonts w:ascii="Arial" w:hAnsi="Arial" w:cs="Arial"/>
        </w:rPr>
        <w:t>Local shops and amenities had become very important to people, with some schemes having them close by had a real positive helping with fa</w:t>
      </w:r>
      <w:r w:rsidR="002949AA">
        <w:rPr>
          <w:rFonts w:ascii="Arial" w:hAnsi="Arial" w:cs="Arial"/>
        </w:rPr>
        <w:t>miliarity and building</w:t>
      </w:r>
      <w:r w:rsidR="00D72D9E">
        <w:rPr>
          <w:rFonts w:ascii="Arial" w:hAnsi="Arial" w:cs="Arial"/>
        </w:rPr>
        <w:t xml:space="preserve"> confidence as well as creating a community feel. We would suggest this would be a good area to consider for future new builds, as some of the builds on the hospital site said they did feel isolated and it lacked a community feel as the site it was built on has been slow to develop and has become neglected in places. </w:t>
      </w:r>
    </w:p>
    <w:p w:rsidR="0073548C" w:rsidRDefault="0073548C"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One provider held a regular</w:t>
      </w:r>
      <w:r w:rsidR="00E44051">
        <w:rPr>
          <w:rFonts w:ascii="Arial" w:hAnsi="Arial" w:cs="Arial"/>
        </w:rPr>
        <w:t xml:space="preserve"> social event bringing all their</w:t>
      </w:r>
      <w:r>
        <w:rPr>
          <w:rFonts w:ascii="Arial" w:hAnsi="Arial" w:cs="Arial"/>
        </w:rPr>
        <w:t xml:space="preserve"> schemes</w:t>
      </w:r>
      <w:r w:rsidR="00520B45">
        <w:rPr>
          <w:rFonts w:ascii="Arial" w:hAnsi="Arial" w:cs="Arial"/>
        </w:rPr>
        <w:t xml:space="preserve"> to</w:t>
      </w:r>
      <w:r>
        <w:rPr>
          <w:rFonts w:ascii="Arial" w:hAnsi="Arial" w:cs="Arial"/>
        </w:rPr>
        <w:t xml:space="preserve">gether and this was liked by people using that service and gave people the opportunity </w:t>
      </w:r>
      <w:r w:rsidR="00520B45">
        <w:rPr>
          <w:rFonts w:ascii="Arial" w:hAnsi="Arial" w:cs="Arial"/>
        </w:rPr>
        <w:t>to meet up.</w:t>
      </w:r>
    </w:p>
    <w:p w:rsidR="0046671C" w:rsidRDefault="0046671C"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Comments </w:t>
      </w:r>
      <w:r w:rsidR="00FB36D4">
        <w:rPr>
          <w:rFonts w:ascii="Arial" w:hAnsi="Arial" w:cs="Arial"/>
        </w:rPr>
        <w:t xml:space="preserve">around being able to do something spur </w:t>
      </w:r>
      <w:r w:rsidR="0073548C">
        <w:rPr>
          <w:rFonts w:ascii="Arial" w:hAnsi="Arial" w:cs="Arial"/>
        </w:rPr>
        <w:t xml:space="preserve">of the moment </w:t>
      </w:r>
      <w:r w:rsidR="00E44051">
        <w:rPr>
          <w:rFonts w:ascii="Arial" w:hAnsi="Arial" w:cs="Arial"/>
        </w:rPr>
        <w:t xml:space="preserve">in the community by </w:t>
      </w:r>
      <w:r w:rsidR="00CB4378">
        <w:rPr>
          <w:rFonts w:ascii="Arial" w:hAnsi="Arial" w:cs="Arial"/>
        </w:rPr>
        <w:t>using</w:t>
      </w:r>
      <w:r w:rsidR="00FB36D4">
        <w:rPr>
          <w:rFonts w:ascii="Arial" w:hAnsi="Arial" w:cs="Arial"/>
        </w:rPr>
        <w:t xml:space="preserve"> individual</w:t>
      </w:r>
      <w:r w:rsidR="00CB4378">
        <w:rPr>
          <w:rFonts w:ascii="Arial" w:hAnsi="Arial" w:cs="Arial"/>
        </w:rPr>
        <w:t>ised</w:t>
      </w:r>
      <w:r w:rsidR="00FB36D4">
        <w:rPr>
          <w:rFonts w:ascii="Arial" w:hAnsi="Arial" w:cs="Arial"/>
        </w:rPr>
        <w:t xml:space="preserve"> hours of staff support</w:t>
      </w:r>
      <w:r w:rsidR="00E44051">
        <w:rPr>
          <w:rFonts w:ascii="Arial" w:hAnsi="Arial" w:cs="Arial"/>
        </w:rPr>
        <w:t xml:space="preserve">, </w:t>
      </w:r>
      <w:r w:rsidR="00FB36D4">
        <w:rPr>
          <w:rFonts w:ascii="Arial" w:hAnsi="Arial" w:cs="Arial"/>
        </w:rPr>
        <w:t xml:space="preserve">made real differences for people. This was not always possible at the hospital. Often there had to be turn </w:t>
      </w:r>
      <w:r w:rsidR="00866327">
        <w:rPr>
          <w:rFonts w:ascii="Arial" w:hAnsi="Arial" w:cs="Arial"/>
        </w:rPr>
        <w:t>taking in</w:t>
      </w:r>
      <w:r w:rsidR="00CB4378">
        <w:rPr>
          <w:rFonts w:ascii="Arial" w:hAnsi="Arial" w:cs="Arial"/>
        </w:rPr>
        <w:t xml:space="preserve"> many cases,</w:t>
      </w:r>
      <w:r w:rsidR="00FB36D4">
        <w:rPr>
          <w:rFonts w:ascii="Arial" w:hAnsi="Arial" w:cs="Arial"/>
        </w:rPr>
        <w:t xml:space="preserve"> often it was dif</w:t>
      </w:r>
      <w:r w:rsidR="00CB4378">
        <w:rPr>
          <w:rFonts w:ascii="Arial" w:hAnsi="Arial" w:cs="Arial"/>
        </w:rPr>
        <w:t>ficult to do what everyone</w:t>
      </w:r>
      <w:r w:rsidR="00FB36D4">
        <w:rPr>
          <w:rFonts w:ascii="Arial" w:hAnsi="Arial" w:cs="Arial"/>
        </w:rPr>
        <w:t xml:space="preserve"> want</w:t>
      </w:r>
      <w:r w:rsidR="00CB4378">
        <w:rPr>
          <w:rFonts w:ascii="Arial" w:hAnsi="Arial" w:cs="Arial"/>
        </w:rPr>
        <w:t>ed</w:t>
      </w:r>
      <w:r w:rsidR="00FB36D4">
        <w:rPr>
          <w:rFonts w:ascii="Arial" w:hAnsi="Arial" w:cs="Arial"/>
        </w:rPr>
        <w:t>.</w:t>
      </w:r>
    </w:p>
    <w:p w:rsidR="00FB36D4" w:rsidRDefault="00CD16EC"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Man</w:t>
      </w:r>
      <w:r w:rsidR="002949AA">
        <w:rPr>
          <w:rFonts w:ascii="Arial" w:hAnsi="Arial" w:cs="Arial"/>
        </w:rPr>
        <w:t>y people spoke</w:t>
      </w:r>
      <w:r>
        <w:rPr>
          <w:rFonts w:ascii="Arial" w:hAnsi="Arial" w:cs="Arial"/>
        </w:rPr>
        <w:t xml:space="preserve"> </w:t>
      </w:r>
      <w:r w:rsidR="00FB36D4">
        <w:rPr>
          <w:rFonts w:ascii="Arial" w:hAnsi="Arial" w:cs="Arial"/>
        </w:rPr>
        <w:t xml:space="preserve">about the positive attitudes of neighbours and how people were treated with respect by them. There were only a couple of cases where </w:t>
      </w:r>
      <w:r w:rsidR="00866327">
        <w:rPr>
          <w:rFonts w:ascii="Arial" w:hAnsi="Arial" w:cs="Arial"/>
        </w:rPr>
        <w:t>neighbours</w:t>
      </w:r>
      <w:r w:rsidR="00FB36D4">
        <w:rPr>
          <w:rFonts w:ascii="Arial" w:hAnsi="Arial" w:cs="Arial"/>
        </w:rPr>
        <w:t xml:space="preserve"> had caused any problems</w:t>
      </w:r>
      <w:r w:rsidR="0073548C">
        <w:rPr>
          <w:rFonts w:ascii="Arial" w:hAnsi="Arial" w:cs="Arial"/>
        </w:rPr>
        <w:t xml:space="preserve">. Even though at the start of the closure there had been some serious negativity </w:t>
      </w:r>
      <w:r w:rsidR="00E44051">
        <w:rPr>
          <w:rFonts w:ascii="Arial" w:hAnsi="Arial" w:cs="Arial"/>
        </w:rPr>
        <w:t>from the public around the moves into the community</w:t>
      </w:r>
      <w:r w:rsidR="0073548C">
        <w:rPr>
          <w:rFonts w:ascii="Arial" w:hAnsi="Arial" w:cs="Arial"/>
        </w:rPr>
        <w:t>.</w:t>
      </w:r>
    </w:p>
    <w:p w:rsidR="00FB36D4" w:rsidRDefault="00FB36D4"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With one individual they had moved into further more suitable accommodation and ma</w:t>
      </w:r>
      <w:r w:rsidR="00866327">
        <w:rPr>
          <w:rFonts w:ascii="Arial" w:hAnsi="Arial" w:cs="Arial"/>
        </w:rPr>
        <w:t>n</w:t>
      </w:r>
      <w:r>
        <w:rPr>
          <w:rFonts w:ascii="Arial" w:hAnsi="Arial" w:cs="Arial"/>
        </w:rPr>
        <w:t>y of his neighbours had stayed in touch and he had mad</w:t>
      </w:r>
      <w:r w:rsidR="0073548C">
        <w:rPr>
          <w:rFonts w:ascii="Arial" w:hAnsi="Arial" w:cs="Arial"/>
        </w:rPr>
        <w:t>e</w:t>
      </w:r>
      <w:r>
        <w:rPr>
          <w:rFonts w:ascii="Arial" w:hAnsi="Arial" w:cs="Arial"/>
        </w:rPr>
        <w:t xml:space="preserve"> lots of friend</w:t>
      </w:r>
      <w:r w:rsidR="0073548C">
        <w:rPr>
          <w:rFonts w:ascii="Arial" w:hAnsi="Arial" w:cs="Arial"/>
        </w:rPr>
        <w:t>s</w:t>
      </w:r>
      <w:r>
        <w:rPr>
          <w:rFonts w:ascii="Arial" w:hAnsi="Arial" w:cs="Arial"/>
        </w:rPr>
        <w:t xml:space="preserve"> in his </w:t>
      </w:r>
      <w:r w:rsidR="00CB4378">
        <w:rPr>
          <w:rFonts w:ascii="Arial" w:hAnsi="Arial" w:cs="Arial"/>
        </w:rPr>
        <w:t xml:space="preserve">old </w:t>
      </w:r>
      <w:r>
        <w:rPr>
          <w:rFonts w:ascii="Arial" w:hAnsi="Arial" w:cs="Arial"/>
        </w:rPr>
        <w:t>street</w:t>
      </w:r>
      <w:r w:rsidR="0073548C">
        <w:rPr>
          <w:rFonts w:ascii="Arial" w:hAnsi="Arial" w:cs="Arial"/>
        </w:rPr>
        <w:t xml:space="preserve"> some of which he meets now for lunch</w:t>
      </w:r>
      <w:r>
        <w:rPr>
          <w:rFonts w:ascii="Arial" w:hAnsi="Arial" w:cs="Arial"/>
        </w:rPr>
        <w:t>.</w:t>
      </w:r>
    </w:p>
    <w:p w:rsidR="00520B45" w:rsidRDefault="00E44051"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Ridge H</w:t>
      </w:r>
      <w:r w:rsidR="00866327">
        <w:rPr>
          <w:rFonts w:ascii="Arial" w:hAnsi="Arial" w:cs="Arial"/>
        </w:rPr>
        <w:t>ill</w:t>
      </w:r>
      <w:r>
        <w:rPr>
          <w:rFonts w:ascii="Arial" w:hAnsi="Arial" w:cs="Arial"/>
        </w:rPr>
        <w:t xml:space="preserve"> hospital</w:t>
      </w:r>
      <w:r w:rsidR="00866327">
        <w:rPr>
          <w:rFonts w:ascii="Arial" w:hAnsi="Arial" w:cs="Arial"/>
        </w:rPr>
        <w:t xml:space="preserve"> did however have its own community</w:t>
      </w:r>
      <w:r>
        <w:rPr>
          <w:rFonts w:ascii="Arial" w:hAnsi="Arial" w:cs="Arial"/>
        </w:rPr>
        <w:t>, with space and freedom for a few to</w:t>
      </w:r>
      <w:r w:rsidR="000F646B">
        <w:rPr>
          <w:rFonts w:ascii="Arial" w:hAnsi="Arial" w:cs="Arial"/>
        </w:rPr>
        <w:t xml:space="preserve"> walk around on th</w:t>
      </w:r>
      <w:r>
        <w:rPr>
          <w:rFonts w:ascii="Arial" w:hAnsi="Arial" w:cs="Arial"/>
        </w:rPr>
        <w:t>eir own around and</w:t>
      </w:r>
      <w:r w:rsidR="00EF4658">
        <w:rPr>
          <w:rFonts w:ascii="Arial" w:hAnsi="Arial" w:cs="Arial"/>
        </w:rPr>
        <w:t xml:space="preserve"> for some they really missed this</w:t>
      </w:r>
      <w:r>
        <w:rPr>
          <w:rFonts w:ascii="Arial" w:hAnsi="Arial" w:cs="Arial"/>
        </w:rPr>
        <w:t>. I</w:t>
      </w:r>
      <w:r w:rsidR="001523D9">
        <w:rPr>
          <w:rFonts w:ascii="Arial" w:hAnsi="Arial" w:cs="Arial"/>
        </w:rPr>
        <w:t xml:space="preserve">t </w:t>
      </w:r>
      <w:r>
        <w:rPr>
          <w:rFonts w:ascii="Arial" w:hAnsi="Arial" w:cs="Arial"/>
        </w:rPr>
        <w:t>gave</w:t>
      </w:r>
      <w:r w:rsidR="00866327">
        <w:rPr>
          <w:rFonts w:ascii="Arial" w:hAnsi="Arial" w:cs="Arial"/>
        </w:rPr>
        <w:t xml:space="preserve"> some time and space away</w:t>
      </w:r>
      <w:r w:rsidR="006B1F87">
        <w:rPr>
          <w:rFonts w:ascii="Arial" w:hAnsi="Arial" w:cs="Arial"/>
        </w:rPr>
        <w:t xml:space="preserve"> from the bungalows they lived i</w:t>
      </w:r>
      <w:r w:rsidR="00D72D9E">
        <w:rPr>
          <w:rFonts w:ascii="Arial" w:hAnsi="Arial" w:cs="Arial"/>
        </w:rPr>
        <w:t xml:space="preserve">n even although this was contained within the grounds of the hospital. </w:t>
      </w:r>
      <w:r w:rsidR="00CD16EC">
        <w:rPr>
          <w:rFonts w:ascii="Arial" w:hAnsi="Arial" w:cs="Arial"/>
        </w:rPr>
        <w:t xml:space="preserve">This is now done with support </w:t>
      </w:r>
      <w:proofErr w:type="gramStart"/>
      <w:r w:rsidR="00CD16EC">
        <w:rPr>
          <w:rFonts w:ascii="Arial" w:hAnsi="Arial" w:cs="Arial"/>
        </w:rPr>
        <w:t>staff close</w:t>
      </w:r>
      <w:proofErr w:type="gramEnd"/>
      <w:r w:rsidR="00CD16EC">
        <w:rPr>
          <w:rFonts w:ascii="Arial" w:hAnsi="Arial" w:cs="Arial"/>
        </w:rPr>
        <w:t xml:space="preserve"> by.</w:t>
      </w:r>
    </w:p>
    <w:p w:rsidR="00866327" w:rsidRDefault="00B50871"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Also</w:t>
      </w:r>
      <w:r w:rsidR="00866327">
        <w:rPr>
          <w:rFonts w:ascii="Arial" w:hAnsi="Arial" w:cs="Arial"/>
        </w:rPr>
        <w:t xml:space="preserve"> schemes supporting only one person in their own home </w:t>
      </w:r>
      <w:r w:rsidR="00520B45">
        <w:rPr>
          <w:rFonts w:ascii="Arial" w:hAnsi="Arial" w:cs="Arial"/>
        </w:rPr>
        <w:t>said it was sometime</w:t>
      </w:r>
      <w:r>
        <w:rPr>
          <w:rFonts w:ascii="Arial" w:hAnsi="Arial" w:cs="Arial"/>
        </w:rPr>
        <w:t>s</w:t>
      </w:r>
      <w:r w:rsidR="00520B45">
        <w:rPr>
          <w:rFonts w:ascii="Arial" w:hAnsi="Arial" w:cs="Arial"/>
        </w:rPr>
        <w:t xml:space="preserve"> hard to find information on community activities for people with high support needs or with behaviours that challenge</w:t>
      </w:r>
      <w:r>
        <w:rPr>
          <w:rFonts w:ascii="Arial" w:hAnsi="Arial" w:cs="Arial"/>
        </w:rPr>
        <w:t>. Requests for</w:t>
      </w:r>
      <w:r w:rsidR="00520B45">
        <w:rPr>
          <w:rFonts w:ascii="Arial" w:hAnsi="Arial" w:cs="Arial"/>
        </w:rPr>
        <w:t xml:space="preserve"> somewhere they could go to for more information </w:t>
      </w:r>
      <w:r>
        <w:rPr>
          <w:rFonts w:ascii="Arial" w:hAnsi="Arial" w:cs="Arial"/>
        </w:rPr>
        <w:t>not just using on line services but an actual places to find out this information to widen their activities in the community.</w:t>
      </w:r>
    </w:p>
    <w:p w:rsidR="00EF4658" w:rsidRPr="0097459C" w:rsidRDefault="00944625" w:rsidP="0097459C">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lastRenderedPageBreak/>
        <w:t>Results showed how people were accessing the community more and using a</w:t>
      </w:r>
      <w:r w:rsidR="0097459C">
        <w:rPr>
          <w:rFonts w:ascii="Arial" w:hAnsi="Arial" w:cs="Arial"/>
        </w:rPr>
        <w:t xml:space="preserve"> </w:t>
      </w:r>
      <w:r>
        <w:rPr>
          <w:rFonts w:ascii="Arial" w:hAnsi="Arial" w:cs="Arial"/>
        </w:rPr>
        <w:t>wider variety</w:t>
      </w:r>
      <w:r w:rsidR="0097459C">
        <w:rPr>
          <w:rFonts w:ascii="Arial" w:hAnsi="Arial" w:cs="Arial"/>
        </w:rPr>
        <w:t xml:space="preserve"> of places. Attitudes by neighbours were found to be positive and people had become valued as members of that community</w:t>
      </w:r>
      <w:r>
        <w:rPr>
          <w:rFonts w:ascii="Arial" w:hAnsi="Arial" w:cs="Arial"/>
        </w:rPr>
        <w:t xml:space="preserve"> </w:t>
      </w:r>
    </w:p>
    <w:p w:rsidR="0046671C" w:rsidRDefault="00F60FC2" w:rsidP="00F60FC2">
      <w:pPr>
        <w:pBdr>
          <w:top w:val="single" w:sz="48" w:space="1" w:color="403152" w:themeColor="accent4" w:themeShade="80"/>
          <w:left w:val="single" w:sz="48" w:space="4" w:color="403152" w:themeColor="accent4" w:themeShade="80"/>
        </w:pBdr>
        <w:jc w:val="center"/>
      </w:pPr>
      <w:r>
        <w:rPr>
          <w:noProof/>
          <w:lang w:eastAsia="en-GB"/>
        </w:rPr>
        <w:drawing>
          <wp:inline distT="0" distB="0" distL="0" distR="0" wp14:anchorId="25BF28BB" wp14:editId="318A4FA6">
            <wp:extent cx="4314825" cy="20383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62C3" w:rsidRDefault="00F60FC2" w:rsidP="00F60FC2">
      <w:pPr>
        <w:pBdr>
          <w:top w:val="single" w:sz="48" w:space="1" w:color="403152" w:themeColor="accent4" w:themeShade="80"/>
          <w:left w:val="single" w:sz="48" w:space="4" w:color="403152" w:themeColor="accent4" w:themeShade="80"/>
        </w:pBdr>
        <w:jc w:val="center"/>
      </w:pPr>
      <w:r>
        <w:rPr>
          <w:noProof/>
          <w:lang w:eastAsia="en-GB"/>
        </w:rPr>
        <w:drawing>
          <wp:inline distT="0" distB="0" distL="0" distR="0" wp14:anchorId="5141CCEB" wp14:editId="645F3899">
            <wp:extent cx="4267200" cy="20955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4658" w:rsidRDefault="00EF4658" w:rsidP="00F60FC2">
      <w:pPr>
        <w:pBdr>
          <w:top w:val="single" w:sz="48" w:space="1" w:color="403152" w:themeColor="accent4" w:themeShade="80"/>
          <w:left w:val="single" w:sz="48" w:space="4" w:color="403152" w:themeColor="accent4" w:themeShade="80"/>
        </w:pBdr>
        <w:rPr>
          <w:rFonts w:ascii="Arial" w:hAnsi="Arial" w:cs="Arial"/>
          <w:b/>
        </w:rPr>
      </w:pPr>
    </w:p>
    <w:p w:rsidR="00F60FC2" w:rsidRPr="00F60FC2" w:rsidRDefault="00F60FC2" w:rsidP="00F60FC2">
      <w:pPr>
        <w:pBdr>
          <w:top w:val="single" w:sz="48" w:space="1" w:color="403152" w:themeColor="accent4" w:themeShade="80"/>
          <w:left w:val="single" w:sz="48" w:space="4" w:color="403152" w:themeColor="accent4" w:themeShade="80"/>
        </w:pBdr>
        <w:rPr>
          <w:rFonts w:ascii="Arial" w:hAnsi="Arial" w:cs="Arial"/>
          <w:b/>
        </w:rPr>
      </w:pPr>
      <w:r w:rsidRPr="00F60FC2">
        <w:rPr>
          <w:rFonts w:ascii="Arial" w:hAnsi="Arial" w:cs="Arial"/>
          <w:b/>
        </w:rPr>
        <w:t>Independence</w:t>
      </w:r>
    </w:p>
    <w:p w:rsidR="00F60FC2" w:rsidRPr="00F60FC2" w:rsidRDefault="00F60FC2" w:rsidP="00F60FC2">
      <w:pPr>
        <w:pBdr>
          <w:top w:val="single" w:sz="48" w:space="1" w:color="403152" w:themeColor="accent4" w:themeShade="80"/>
          <w:left w:val="single" w:sz="48" w:space="4" w:color="403152" w:themeColor="accent4" w:themeShade="80"/>
        </w:pBdr>
        <w:rPr>
          <w:rFonts w:ascii="Arial" w:hAnsi="Arial" w:cs="Arial"/>
          <w:b/>
        </w:rPr>
      </w:pPr>
      <w:r w:rsidRPr="00F60FC2">
        <w:rPr>
          <w:rFonts w:ascii="Arial" w:hAnsi="Arial" w:cs="Arial"/>
          <w:b/>
        </w:rPr>
        <w:t>We asked people to rate the differences around people being independent comparing Ridge Hill to life now.</w:t>
      </w:r>
    </w:p>
    <w:p w:rsidR="00F60FC2" w:rsidRPr="00F60FC2" w:rsidRDefault="00CF68B3" w:rsidP="00F60FC2">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Homes </w:t>
      </w:r>
      <w:proofErr w:type="gramStart"/>
      <w:r>
        <w:rPr>
          <w:rFonts w:ascii="Arial" w:hAnsi="Arial" w:cs="Arial"/>
        </w:rPr>
        <w:t xml:space="preserve">with </w:t>
      </w:r>
      <w:r w:rsidR="00944625">
        <w:rPr>
          <w:rFonts w:ascii="Arial" w:hAnsi="Arial" w:cs="Arial"/>
        </w:rPr>
        <w:t xml:space="preserve"> </w:t>
      </w:r>
      <w:r w:rsidR="00F60FC2" w:rsidRPr="00F60FC2">
        <w:rPr>
          <w:rFonts w:ascii="Arial" w:hAnsi="Arial" w:cs="Arial"/>
        </w:rPr>
        <w:t>adapted</w:t>
      </w:r>
      <w:proofErr w:type="gramEnd"/>
      <w:r w:rsidR="00F60FC2" w:rsidRPr="00F60FC2">
        <w:rPr>
          <w:rFonts w:ascii="Arial" w:hAnsi="Arial" w:cs="Arial"/>
        </w:rPr>
        <w:t xml:space="preserve"> living was one of the </w:t>
      </w:r>
      <w:r w:rsidR="00F60FC2">
        <w:rPr>
          <w:rFonts w:ascii="Arial" w:hAnsi="Arial" w:cs="Arial"/>
        </w:rPr>
        <w:t>areas</w:t>
      </w:r>
      <w:r w:rsidR="00680BF1">
        <w:rPr>
          <w:rFonts w:ascii="Arial" w:hAnsi="Arial" w:cs="Arial"/>
        </w:rPr>
        <w:t xml:space="preserve"> where</w:t>
      </w:r>
      <w:r w:rsidR="00F60FC2" w:rsidRPr="00F60FC2">
        <w:rPr>
          <w:rFonts w:ascii="Arial" w:hAnsi="Arial" w:cs="Arial"/>
        </w:rPr>
        <w:t xml:space="preserve"> most people commented on. Many of the new builds had been designed around </w:t>
      </w:r>
      <w:r w:rsidR="00680BF1">
        <w:rPr>
          <w:rFonts w:ascii="Arial" w:hAnsi="Arial" w:cs="Arial"/>
        </w:rPr>
        <w:t>the individuals giving them greater</w:t>
      </w:r>
      <w:r w:rsidR="00F60FC2" w:rsidRPr="00F60FC2">
        <w:rPr>
          <w:rFonts w:ascii="Arial" w:hAnsi="Arial" w:cs="Arial"/>
        </w:rPr>
        <w:t xml:space="preserve"> independence around their home.</w:t>
      </w:r>
      <w:r w:rsidR="00CE1ECB">
        <w:rPr>
          <w:rFonts w:ascii="Arial" w:hAnsi="Arial" w:cs="Arial"/>
        </w:rPr>
        <w:t xml:space="preserve"> Also the increase in individual support meant people had more time to be supported and opportunities to be more independent.</w:t>
      </w:r>
    </w:p>
    <w:p w:rsidR="00944625" w:rsidRDefault="00F60FC2" w:rsidP="00F60FC2">
      <w:pPr>
        <w:pBdr>
          <w:top w:val="single" w:sz="48" w:space="1" w:color="403152" w:themeColor="accent4" w:themeShade="80"/>
          <w:left w:val="single" w:sz="48" w:space="4" w:color="403152" w:themeColor="accent4" w:themeShade="80"/>
        </w:pBdr>
        <w:rPr>
          <w:rFonts w:ascii="Arial" w:hAnsi="Arial" w:cs="Arial"/>
        </w:rPr>
      </w:pPr>
      <w:r w:rsidRPr="00F60FC2">
        <w:rPr>
          <w:rFonts w:ascii="Arial" w:hAnsi="Arial" w:cs="Arial"/>
        </w:rPr>
        <w:t>Due to restrictions living within a hospital people were not always able to access their kitchens and many were locked for sa</w:t>
      </w:r>
      <w:r w:rsidR="00B50871">
        <w:rPr>
          <w:rFonts w:ascii="Arial" w:hAnsi="Arial" w:cs="Arial"/>
        </w:rPr>
        <w:t>fety reasons. Often this depended</w:t>
      </w:r>
      <w:r w:rsidRPr="00F60FC2">
        <w:rPr>
          <w:rFonts w:ascii="Arial" w:hAnsi="Arial" w:cs="Arial"/>
        </w:rPr>
        <w:t xml:space="preserve"> on who you lived with and if there was risks posed to them</w:t>
      </w:r>
      <w:r w:rsidR="00B50871">
        <w:rPr>
          <w:rFonts w:ascii="Arial" w:hAnsi="Arial" w:cs="Arial"/>
        </w:rPr>
        <w:t xml:space="preserve"> t</w:t>
      </w:r>
      <w:r w:rsidRPr="00F60FC2">
        <w:rPr>
          <w:rFonts w:ascii="Arial" w:hAnsi="Arial" w:cs="Arial"/>
        </w:rPr>
        <w:t>his restricti</w:t>
      </w:r>
      <w:r w:rsidR="00DE3BC1">
        <w:rPr>
          <w:rFonts w:ascii="Arial" w:hAnsi="Arial" w:cs="Arial"/>
        </w:rPr>
        <w:t xml:space="preserve">on would commonly apply to </w:t>
      </w:r>
      <w:r w:rsidRPr="00F60FC2">
        <w:rPr>
          <w:rFonts w:ascii="Arial" w:hAnsi="Arial" w:cs="Arial"/>
        </w:rPr>
        <w:t xml:space="preserve">you also. </w:t>
      </w:r>
    </w:p>
    <w:p w:rsidR="00F72B4D" w:rsidRDefault="00F60FC2" w:rsidP="00F60FC2">
      <w:pPr>
        <w:pBdr>
          <w:top w:val="single" w:sz="48" w:space="1" w:color="403152" w:themeColor="accent4" w:themeShade="80"/>
          <w:left w:val="single" w:sz="48" w:space="4" w:color="403152" w:themeColor="accent4" w:themeShade="80"/>
        </w:pBdr>
        <w:rPr>
          <w:rFonts w:ascii="Arial" w:hAnsi="Arial" w:cs="Arial"/>
        </w:rPr>
      </w:pPr>
      <w:r w:rsidRPr="00F60FC2">
        <w:rPr>
          <w:rFonts w:ascii="Arial" w:hAnsi="Arial" w:cs="Arial"/>
        </w:rPr>
        <w:t>This however</w:t>
      </w:r>
      <w:r w:rsidR="00F72B4D">
        <w:rPr>
          <w:rFonts w:ascii="Arial" w:hAnsi="Arial" w:cs="Arial"/>
        </w:rPr>
        <w:t xml:space="preserve"> is not the case now. Most of </w:t>
      </w:r>
      <w:r w:rsidR="00F72B4D" w:rsidRPr="00F60FC2">
        <w:rPr>
          <w:rFonts w:ascii="Arial" w:hAnsi="Arial" w:cs="Arial"/>
        </w:rPr>
        <w:t>the</w:t>
      </w:r>
      <w:r w:rsidRPr="00F60FC2">
        <w:rPr>
          <w:rFonts w:ascii="Arial" w:hAnsi="Arial" w:cs="Arial"/>
        </w:rPr>
        <w:t xml:space="preserve"> people we met could now access all area of their homes inclu</w:t>
      </w:r>
      <w:r>
        <w:rPr>
          <w:rFonts w:ascii="Arial" w:hAnsi="Arial" w:cs="Arial"/>
        </w:rPr>
        <w:t xml:space="preserve">ding kitchens and utility areas </w:t>
      </w:r>
      <w:r w:rsidRPr="00F60FC2">
        <w:rPr>
          <w:rFonts w:ascii="Arial" w:hAnsi="Arial" w:cs="Arial"/>
        </w:rPr>
        <w:t>encouraging peo</w:t>
      </w:r>
      <w:r w:rsidR="00B50871">
        <w:rPr>
          <w:rFonts w:ascii="Arial" w:hAnsi="Arial" w:cs="Arial"/>
        </w:rPr>
        <w:t xml:space="preserve">ple to be supported to cook, </w:t>
      </w:r>
      <w:r w:rsidRPr="00F60FC2">
        <w:rPr>
          <w:rFonts w:ascii="Arial" w:hAnsi="Arial" w:cs="Arial"/>
        </w:rPr>
        <w:t>prepare their own meals</w:t>
      </w:r>
      <w:r w:rsidR="00CE1ECB">
        <w:rPr>
          <w:rFonts w:ascii="Arial" w:hAnsi="Arial" w:cs="Arial"/>
        </w:rPr>
        <w:t xml:space="preserve"> and do their own laundry </w:t>
      </w:r>
      <w:r w:rsidRPr="00F60FC2">
        <w:rPr>
          <w:rFonts w:ascii="Arial" w:hAnsi="Arial" w:cs="Arial"/>
        </w:rPr>
        <w:t>where possible.</w:t>
      </w:r>
    </w:p>
    <w:p w:rsidR="00F60FC2" w:rsidRPr="00F60FC2" w:rsidRDefault="00F72B4D" w:rsidP="00F60FC2">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lastRenderedPageBreak/>
        <w:t>The hospital did however give some greater independence when out walking the grounds</w:t>
      </w:r>
      <w:r w:rsidR="00B50871">
        <w:rPr>
          <w:rFonts w:ascii="Arial" w:hAnsi="Arial" w:cs="Arial"/>
        </w:rPr>
        <w:t xml:space="preserve"> alone</w:t>
      </w:r>
      <w:r>
        <w:rPr>
          <w:rFonts w:ascii="Arial" w:hAnsi="Arial" w:cs="Arial"/>
        </w:rPr>
        <w:t>. Some comments said how this was hard to replicate in the community.</w:t>
      </w:r>
      <w:r w:rsidR="00F60FC2" w:rsidRPr="00F60FC2">
        <w:rPr>
          <w:rFonts w:ascii="Arial" w:hAnsi="Arial" w:cs="Arial"/>
        </w:rPr>
        <w:t xml:space="preserve"> </w:t>
      </w:r>
    </w:p>
    <w:p w:rsidR="00F60FC2" w:rsidRPr="00F60FC2" w:rsidRDefault="00F60FC2" w:rsidP="00F60FC2">
      <w:pPr>
        <w:pBdr>
          <w:top w:val="single" w:sz="48" w:space="1" w:color="403152" w:themeColor="accent4" w:themeShade="80"/>
          <w:left w:val="single" w:sz="48" w:space="4" w:color="403152" w:themeColor="accent4" w:themeShade="80"/>
        </w:pBdr>
        <w:rPr>
          <w:rFonts w:ascii="Arial" w:hAnsi="Arial" w:cs="Arial"/>
        </w:rPr>
      </w:pPr>
      <w:r w:rsidRPr="00F60FC2">
        <w:rPr>
          <w:rFonts w:ascii="Arial" w:hAnsi="Arial" w:cs="Arial"/>
        </w:rPr>
        <w:t>Garden area</w:t>
      </w:r>
      <w:r w:rsidR="00CE1ECB">
        <w:rPr>
          <w:rFonts w:ascii="Arial" w:hAnsi="Arial" w:cs="Arial"/>
        </w:rPr>
        <w:t>s</w:t>
      </w:r>
      <w:r w:rsidRPr="00F60FC2">
        <w:rPr>
          <w:rFonts w:ascii="Arial" w:hAnsi="Arial" w:cs="Arial"/>
        </w:rPr>
        <w:t xml:space="preserve"> were a great improvement for most</w:t>
      </w:r>
      <w:r w:rsidR="00CE1ECB">
        <w:rPr>
          <w:rFonts w:ascii="Arial" w:hAnsi="Arial" w:cs="Arial"/>
        </w:rPr>
        <w:t>,</w:t>
      </w:r>
      <w:r w:rsidRPr="00F60FC2">
        <w:rPr>
          <w:rFonts w:ascii="Arial" w:hAnsi="Arial" w:cs="Arial"/>
        </w:rPr>
        <w:t xml:space="preserve"> having </w:t>
      </w:r>
      <w:r w:rsidR="00CE1ECB">
        <w:rPr>
          <w:rFonts w:ascii="Arial" w:hAnsi="Arial" w:cs="Arial"/>
        </w:rPr>
        <w:t xml:space="preserve">larger and </w:t>
      </w:r>
      <w:r w:rsidRPr="00F60FC2">
        <w:rPr>
          <w:rFonts w:ascii="Arial" w:hAnsi="Arial" w:cs="Arial"/>
        </w:rPr>
        <w:t>more accessible outside sp</w:t>
      </w:r>
      <w:r w:rsidR="00CE1ECB">
        <w:rPr>
          <w:rFonts w:ascii="Arial" w:hAnsi="Arial" w:cs="Arial"/>
        </w:rPr>
        <w:t>ace. H</w:t>
      </w:r>
      <w:r w:rsidRPr="00F60FC2">
        <w:rPr>
          <w:rFonts w:ascii="Arial" w:hAnsi="Arial" w:cs="Arial"/>
        </w:rPr>
        <w:t>owever for a couple of hous</w:t>
      </w:r>
      <w:r w:rsidR="00DE3BC1">
        <w:rPr>
          <w:rFonts w:ascii="Arial" w:hAnsi="Arial" w:cs="Arial"/>
        </w:rPr>
        <w:t xml:space="preserve">ing providers </w:t>
      </w:r>
      <w:r w:rsidR="00CE1ECB">
        <w:rPr>
          <w:rFonts w:ascii="Arial" w:hAnsi="Arial" w:cs="Arial"/>
        </w:rPr>
        <w:t>when gardens needed further adaption</w:t>
      </w:r>
      <w:r w:rsidR="00F72B4D">
        <w:rPr>
          <w:rFonts w:ascii="Arial" w:hAnsi="Arial" w:cs="Arial"/>
        </w:rPr>
        <w:t xml:space="preserve"> and maintenance,</w:t>
      </w:r>
      <w:r w:rsidRPr="00F60FC2">
        <w:rPr>
          <w:rFonts w:ascii="Arial" w:hAnsi="Arial" w:cs="Arial"/>
        </w:rPr>
        <w:t xml:space="preserve"> it did seem more difficult </w:t>
      </w:r>
      <w:r w:rsidR="00CE1ECB">
        <w:rPr>
          <w:rFonts w:ascii="Arial" w:hAnsi="Arial" w:cs="Arial"/>
        </w:rPr>
        <w:t>to get</w:t>
      </w:r>
      <w:r w:rsidR="00F72B4D">
        <w:rPr>
          <w:rFonts w:ascii="Arial" w:hAnsi="Arial" w:cs="Arial"/>
        </w:rPr>
        <w:t xml:space="preserve"> things</w:t>
      </w:r>
      <w:r w:rsidR="00B50871">
        <w:rPr>
          <w:rFonts w:ascii="Arial" w:hAnsi="Arial" w:cs="Arial"/>
        </w:rPr>
        <w:t xml:space="preserve"> changed as people wanted. </w:t>
      </w:r>
      <w:r w:rsidR="004720FA">
        <w:rPr>
          <w:rFonts w:ascii="Arial" w:hAnsi="Arial" w:cs="Arial"/>
        </w:rPr>
        <w:t>These raising issues regarding</w:t>
      </w:r>
      <w:r w:rsidR="00CE1ECB">
        <w:rPr>
          <w:rFonts w:ascii="Arial" w:hAnsi="Arial" w:cs="Arial"/>
        </w:rPr>
        <w:t xml:space="preserve"> tenancy agreements individuals had</w:t>
      </w:r>
      <w:r w:rsidR="00F72B4D">
        <w:rPr>
          <w:rFonts w:ascii="Arial" w:hAnsi="Arial" w:cs="Arial"/>
        </w:rPr>
        <w:t xml:space="preserve"> with their providers</w:t>
      </w:r>
      <w:r w:rsidR="00CE1ECB">
        <w:rPr>
          <w:rFonts w:ascii="Arial" w:hAnsi="Arial" w:cs="Arial"/>
        </w:rPr>
        <w:t>.</w:t>
      </w:r>
    </w:p>
    <w:p w:rsidR="00F60FC2" w:rsidRPr="00F60FC2" w:rsidRDefault="00DE3BC1" w:rsidP="00F60FC2">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Having</w:t>
      </w:r>
      <w:r w:rsidR="00F60FC2" w:rsidRPr="00F60FC2">
        <w:rPr>
          <w:rFonts w:ascii="Arial" w:hAnsi="Arial" w:cs="Arial"/>
        </w:rPr>
        <w:t xml:space="preserve"> food pre-prepared outside of the ho</w:t>
      </w:r>
      <w:r w:rsidR="004720FA">
        <w:rPr>
          <w:rFonts w:ascii="Arial" w:hAnsi="Arial" w:cs="Arial"/>
        </w:rPr>
        <w:t xml:space="preserve">spital had </w:t>
      </w:r>
      <w:proofErr w:type="gramStart"/>
      <w:r w:rsidR="004720FA">
        <w:rPr>
          <w:rFonts w:ascii="Arial" w:hAnsi="Arial" w:cs="Arial"/>
        </w:rPr>
        <w:t>changed,</w:t>
      </w:r>
      <w:proofErr w:type="gramEnd"/>
      <w:r w:rsidR="00F60FC2" w:rsidRPr="00F60FC2">
        <w:rPr>
          <w:rFonts w:ascii="Arial" w:hAnsi="Arial" w:cs="Arial"/>
        </w:rPr>
        <w:t xml:space="preserve"> many were involved in their weekly shop</w:t>
      </w:r>
      <w:r w:rsidR="00CE1ECB" w:rsidRPr="00F60FC2">
        <w:rPr>
          <w:rFonts w:ascii="Arial" w:hAnsi="Arial" w:cs="Arial"/>
        </w:rPr>
        <w:t>, planning</w:t>
      </w:r>
      <w:r w:rsidR="00F60FC2" w:rsidRPr="00F60FC2">
        <w:rPr>
          <w:rFonts w:ascii="Arial" w:hAnsi="Arial" w:cs="Arial"/>
        </w:rPr>
        <w:t xml:space="preserve"> meals and there were</w:t>
      </w:r>
      <w:r w:rsidR="00CE1ECB">
        <w:rPr>
          <w:rFonts w:ascii="Arial" w:hAnsi="Arial" w:cs="Arial"/>
        </w:rPr>
        <w:t xml:space="preserve"> lots of stories on how this had given greater</w:t>
      </w:r>
      <w:r w:rsidR="00F60FC2" w:rsidRPr="00F60FC2">
        <w:rPr>
          <w:rFonts w:ascii="Arial" w:hAnsi="Arial" w:cs="Arial"/>
        </w:rPr>
        <w:t xml:space="preserve"> independence and choice </w:t>
      </w:r>
      <w:r w:rsidR="00CE1ECB">
        <w:rPr>
          <w:rFonts w:ascii="Arial" w:hAnsi="Arial" w:cs="Arial"/>
        </w:rPr>
        <w:t xml:space="preserve">and </w:t>
      </w:r>
      <w:r w:rsidR="00F60FC2" w:rsidRPr="00F60FC2">
        <w:rPr>
          <w:rFonts w:ascii="Arial" w:hAnsi="Arial" w:cs="Arial"/>
        </w:rPr>
        <w:t>was one of the areas pe</w:t>
      </w:r>
      <w:r>
        <w:rPr>
          <w:rFonts w:ascii="Arial" w:hAnsi="Arial" w:cs="Arial"/>
        </w:rPr>
        <w:t>ople most enjoyed</w:t>
      </w:r>
      <w:r w:rsidR="00F60FC2" w:rsidRPr="00F60FC2">
        <w:rPr>
          <w:rFonts w:ascii="Arial" w:hAnsi="Arial" w:cs="Arial"/>
        </w:rPr>
        <w:t>.</w:t>
      </w:r>
    </w:p>
    <w:p w:rsidR="00F60FC2" w:rsidRPr="00F60FC2" w:rsidRDefault="00B90444" w:rsidP="00F60FC2">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One area </w:t>
      </w:r>
      <w:r w:rsidR="00F60FC2" w:rsidRPr="00F60FC2">
        <w:rPr>
          <w:rFonts w:ascii="Arial" w:hAnsi="Arial" w:cs="Arial"/>
        </w:rPr>
        <w:t>that was raised over independence was the chance for some o</w:t>
      </w:r>
      <w:r w:rsidR="002949AA">
        <w:rPr>
          <w:rFonts w:ascii="Arial" w:hAnsi="Arial" w:cs="Arial"/>
        </w:rPr>
        <w:t>f the</w:t>
      </w:r>
      <w:r w:rsidR="00F60FC2" w:rsidRPr="00F60FC2">
        <w:rPr>
          <w:rFonts w:ascii="Arial" w:hAnsi="Arial" w:cs="Arial"/>
        </w:rPr>
        <w:t xml:space="preserve"> people with profound and multiple disabilities to have day bed areas in </w:t>
      </w:r>
      <w:r w:rsidR="00CE1ECB" w:rsidRPr="00F60FC2">
        <w:rPr>
          <w:rFonts w:ascii="Arial" w:hAnsi="Arial" w:cs="Arial"/>
        </w:rPr>
        <w:t>their</w:t>
      </w:r>
      <w:r w:rsidR="00F60FC2" w:rsidRPr="00F60FC2">
        <w:rPr>
          <w:rFonts w:ascii="Arial" w:hAnsi="Arial" w:cs="Arial"/>
        </w:rPr>
        <w:t xml:space="preserve"> home</w:t>
      </w:r>
      <w:r w:rsidR="00DE3BC1">
        <w:rPr>
          <w:rFonts w:ascii="Arial" w:hAnsi="Arial" w:cs="Arial"/>
        </w:rPr>
        <w:t>s .T</w:t>
      </w:r>
      <w:r w:rsidR="00CE1ECB">
        <w:rPr>
          <w:rFonts w:ascii="Arial" w:hAnsi="Arial" w:cs="Arial"/>
        </w:rPr>
        <w:t>his</w:t>
      </w:r>
      <w:r w:rsidR="00DE3BC1">
        <w:rPr>
          <w:rFonts w:ascii="Arial" w:hAnsi="Arial" w:cs="Arial"/>
        </w:rPr>
        <w:t xml:space="preserve"> has</w:t>
      </w:r>
      <w:r w:rsidR="00CE1ECB">
        <w:rPr>
          <w:rFonts w:ascii="Arial" w:hAnsi="Arial" w:cs="Arial"/>
        </w:rPr>
        <w:t xml:space="preserve"> created</w:t>
      </w:r>
      <w:r w:rsidR="00F00144">
        <w:rPr>
          <w:rFonts w:ascii="Arial" w:hAnsi="Arial" w:cs="Arial"/>
        </w:rPr>
        <w:t xml:space="preserve"> chances </w:t>
      </w:r>
      <w:r w:rsidR="00F60FC2" w:rsidRPr="00F60FC2">
        <w:rPr>
          <w:rFonts w:ascii="Arial" w:hAnsi="Arial" w:cs="Arial"/>
        </w:rPr>
        <w:t xml:space="preserve">to </w:t>
      </w:r>
      <w:r w:rsidR="00944625">
        <w:rPr>
          <w:rFonts w:ascii="Arial" w:hAnsi="Arial" w:cs="Arial"/>
        </w:rPr>
        <w:t>have more freedom</w:t>
      </w:r>
      <w:r w:rsidR="00F60FC2" w:rsidRPr="00F60FC2">
        <w:rPr>
          <w:rFonts w:ascii="Arial" w:hAnsi="Arial" w:cs="Arial"/>
        </w:rPr>
        <w:t xml:space="preserve"> from their wheelchairs and felt more safe when doing this</w:t>
      </w:r>
      <w:r w:rsidR="00F00144">
        <w:rPr>
          <w:rFonts w:ascii="Arial" w:hAnsi="Arial" w:cs="Arial"/>
        </w:rPr>
        <w:t xml:space="preserve"> in areas designed specifically around them</w:t>
      </w:r>
      <w:r w:rsidR="00F60FC2" w:rsidRPr="00F60FC2">
        <w:rPr>
          <w:rFonts w:ascii="Arial" w:hAnsi="Arial" w:cs="Arial"/>
        </w:rPr>
        <w:t>.</w:t>
      </w:r>
    </w:p>
    <w:p w:rsidR="004762C3" w:rsidRDefault="00B90444" w:rsidP="00F60FC2">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drawing>
          <wp:inline distT="0" distB="0" distL="0" distR="0" wp14:anchorId="52617DB6" wp14:editId="012087B0">
            <wp:extent cx="4200525" cy="22002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03F6" w:rsidRPr="00F60FC2" w:rsidRDefault="00B303F6" w:rsidP="00F60FC2">
      <w:pPr>
        <w:pBdr>
          <w:top w:val="single" w:sz="48" w:space="1" w:color="403152" w:themeColor="accent4" w:themeShade="80"/>
          <w:left w:val="single" w:sz="48" w:space="4" w:color="403152" w:themeColor="accent4" w:themeShade="80"/>
        </w:pBdr>
        <w:jc w:val="center"/>
        <w:rPr>
          <w:rFonts w:ascii="Arial" w:hAnsi="Arial" w:cs="Arial"/>
        </w:rPr>
      </w:pPr>
      <w:r w:rsidRPr="00B303F6">
        <w:rPr>
          <w:rFonts w:ascii="Arial" w:hAnsi="Arial" w:cs="Arial"/>
          <w:noProof/>
          <w:lang w:eastAsia="en-GB"/>
        </w:rPr>
        <mc:AlternateContent>
          <mc:Choice Requires="wps">
            <w:drawing>
              <wp:anchor distT="0" distB="0" distL="114300" distR="114300" simplePos="0" relativeHeight="251661312" behindDoc="0" locked="0" layoutInCell="1" allowOverlap="1" wp14:anchorId="580212E0" wp14:editId="629AEE18">
                <wp:simplePos x="0" y="0"/>
                <wp:positionH relativeFrom="column">
                  <wp:posOffset>1247775</wp:posOffset>
                </wp:positionH>
                <wp:positionV relativeFrom="paragraph">
                  <wp:posOffset>60325</wp:posOffset>
                </wp:positionV>
                <wp:extent cx="27622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71475"/>
                        </a:xfrm>
                        <a:prstGeom prst="rect">
                          <a:avLst/>
                        </a:prstGeom>
                        <a:solidFill>
                          <a:srgbClr val="FFFFFF"/>
                        </a:solidFill>
                        <a:ln w="9525">
                          <a:noFill/>
                          <a:miter lim="800000"/>
                          <a:headEnd/>
                          <a:tailEnd/>
                        </a:ln>
                      </wps:spPr>
                      <wps:txbx>
                        <w:txbxContent>
                          <w:p w:rsidR="00AA5EC1" w:rsidRPr="00B303F6" w:rsidRDefault="00AA5EC1">
                            <w:pPr>
                              <w:rPr>
                                <w:b/>
                                <w:sz w:val="36"/>
                                <w:szCs w:val="36"/>
                              </w:rPr>
                            </w:pPr>
                            <w:r w:rsidRPr="00B303F6">
                              <w:rPr>
                                <w:b/>
                                <w:sz w:val="36"/>
                                <w:szCs w:val="36"/>
                              </w:rPr>
                              <w:t>Independence 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25pt;margin-top:4.75pt;width:21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" stroked="f">
                <v:textbox>
                  <w:txbxContent>
                    <w:p w:rsidR="00AA5EC1" w:rsidRPr="00B303F6" w:rsidRDefault="00AA5EC1">
                      <w:pPr>
                        <w:rPr>
                          <w:b/>
                          <w:sz w:val="36"/>
                          <w:szCs w:val="36"/>
                        </w:rPr>
                      </w:pPr>
                      <w:r w:rsidRPr="00B303F6">
                        <w:rPr>
                          <w:b/>
                          <w:sz w:val="36"/>
                          <w:szCs w:val="36"/>
                        </w:rPr>
                        <w:t>Independence now</w:t>
                      </w:r>
                    </w:p>
                  </w:txbxContent>
                </v:textbox>
              </v:shape>
            </w:pict>
          </mc:Fallback>
        </mc:AlternateContent>
      </w:r>
      <w:r>
        <w:rPr>
          <w:noProof/>
          <w:lang w:eastAsia="en-GB"/>
        </w:rPr>
        <w:drawing>
          <wp:inline distT="0" distB="0" distL="0" distR="0" wp14:anchorId="77E45E35" wp14:editId="0EFEFF7C">
            <wp:extent cx="4152900" cy="22383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4658" w:rsidRPr="00F60FC2" w:rsidRDefault="00EF4658" w:rsidP="00EF4658">
      <w:pPr>
        <w:pBdr>
          <w:top w:val="single" w:sz="48" w:space="1" w:color="403152" w:themeColor="accent4" w:themeShade="80"/>
          <w:left w:val="single" w:sz="48" w:space="4" w:color="403152" w:themeColor="accent4" w:themeShade="80"/>
        </w:pBdr>
        <w:rPr>
          <w:rFonts w:ascii="Arial" w:hAnsi="Arial" w:cs="Arial"/>
        </w:rPr>
      </w:pPr>
      <w:r w:rsidRPr="00F60FC2">
        <w:rPr>
          <w:rFonts w:ascii="Arial" w:hAnsi="Arial" w:cs="Arial"/>
        </w:rPr>
        <w:t xml:space="preserve">In some cases families felt that independence for the people with the most profound disabilities had </w:t>
      </w:r>
      <w:r w:rsidR="00DE3BC1">
        <w:rPr>
          <w:rFonts w:ascii="Arial" w:hAnsi="Arial" w:cs="Arial"/>
        </w:rPr>
        <w:t>not changed due to their disability. W</w:t>
      </w:r>
      <w:r w:rsidR="004720FA">
        <w:rPr>
          <w:rFonts w:ascii="Arial" w:hAnsi="Arial" w:cs="Arial"/>
        </w:rPr>
        <w:t xml:space="preserve">e did find that people </w:t>
      </w:r>
      <w:r w:rsidR="002949AA">
        <w:rPr>
          <w:rFonts w:ascii="Arial" w:hAnsi="Arial" w:cs="Arial"/>
        </w:rPr>
        <w:t xml:space="preserve">had </w:t>
      </w:r>
      <w:r w:rsidR="002949AA" w:rsidRPr="00F60FC2">
        <w:rPr>
          <w:rFonts w:ascii="Arial" w:hAnsi="Arial" w:cs="Arial"/>
        </w:rPr>
        <w:t>regular</w:t>
      </w:r>
      <w:r w:rsidR="004720FA">
        <w:rPr>
          <w:rFonts w:ascii="Arial" w:hAnsi="Arial" w:cs="Arial"/>
        </w:rPr>
        <w:t xml:space="preserve"> staff </w:t>
      </w:r>
      <w:r w:rsidR="00DE3BC1">
        <w:rPr>
          <w:rFonts w:ascii="Arial" w:hAnsi="Arial" w:cs="Arial"/>
        </w:rPr>
        <w:t>who offered</w:t>
      </w:r>
      <w:r w:rsidRPr="00F60FC2">
        <w:rPr>
          <w:rFonts w:ascii="Arial" w:hAnsi="Arial" w:cs="Arial"/>
        </w:rPr>
        <w:t xml:space="preserve"> cons</w:t>
      </w:r>
      <w:r>
        <w:rPr>
          <w:rFonts w:ascii="Arial" w:hAnsi="Arial" w:cs="Arial"/>
        </w:rPr>
        <w:t>is</w:t>
      </w:r>
      <w:r w:rsidR="00DE3BC1">
        <w:rPr>
          <w:rFonts w:ascii="Arial" w:hAnsi="Arial" w:cs="Arial"/>
        </w:rPr>
        <w:t>tent approaches and this was</w:t>
      </w:r>
      <w:r w:rsidRPr="00F60FC2">
        <w:rPr>
          <w:rFonts w:ascii="Arial" w:hAnsi="Arial" w:cs="Arial"/>
        </w:rPr>
        <w:t xml:space="preserve"> important to people and their families.</w:t>
      </w:r>
    </w:p>
    <w:p w:rsidR="00EF4658" w:rsidRPr="00F60FC2" w:rsidRDefault="005E4793" w:rsidP="00EF4658">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lastRenderedPageBreak/>
        <w:t>There was greater</w:t>
      </w:r>
      <w:r w:rsidR="00DE3BC1">
        <w:rPr>
          <w:rFonts w:ascii="Arial" w:hAnsi="Arial" w:cs="Arial"/>
        </w:rPr>
        <w:t xml:space="preserve"> independence by owning</w:t>
      </w:r>
      <w:r w:rsidR="00EF4658" w:rsidRPr="00F60FC2">
        <w:rPr>
          <w:rFonts w:ascii="Arial" w:hAnsi="Arial" w:cs="Arial"/>
        </w:rPr>
        <w:t xml:space="preserve"> car</w:t>
      </w:r>
      <w:r w:rsidR="00DE3BC1">
        <w:rPr>
          <w:rFonts w:ascii="Arial" w:hAnsi="Arial" w:cs="Arial"/>
        </w:rPr>
        <w:t>s</w:t>
      </w:r>
      <w:r w:rsidR="004720FA">
        <w:rPr>
          <w:rFonts w:ascii="Arial" w:hAnsi="Arial" w:cs="Arial"/>
        </w:rPr>
        <w:t xml:space="preserve"> and the freedom </w:t>
      </w:r>
      <w:r w:rsidR="004720FA" w:rsidRPr="00F60FC2">
        <w:rPr>
          <w:rFonts w:ascii="Arial" w:hAnsi="Arial" w:cs="Arial"/>
        </w:rPr>
        <w:t>to</w:t>
      </w:r>
      <w:r w:rsidR="00EF4658" w:rsidRPr="00F60FC2">
        <w:rPr>
          <w:rFonts w:ascii="Arial" w:hAnsi="Arial" w:cs="Arial"/>
        </w:rPr>
        <w:t xml:space="preserve"> go out when they choose. For some who rely on a 2-1 element for </w:t>
      </w:r>
      <w:r w:rsidRPr="00F60FC2">
        <w:rPr>
          <w:rFonts w:ascii="Arial" w:hAnsi="Arial" w:cs="Arial"/>
        </w:rPr>
        <w:t>su</w:t>
      </w:r>
      <w:r>
        <w:rPr>
          <w:rFonts w:ascii="Arial" w:hAnsi="Arial" w:cs="Arial"/>
        </w:rPr>
        <w:t>pport for</w:t>
      </w:r>
      <w:r w:rsidR="00EF4658">
        <w:rPr>
          <w:rFonts w:ascii="Arial" w:hAnsi="Arial" w:cs="Arial"/>
        </w:rPr>
        <w:t xml:space="preserve"> this to happen, </w:t>
      </w:r>
      <w:r w:rsidR="00EF4658" w:rsidRPr="00F60FC2">
        <w:rPr>
          <w:rFonts w:ascii="Arial" w:hAnsi="Arial" w:cs="Arial"/>
        </w:rPr>
        <w:t xml:space="preserve">this was not as easy but work around having individualised budgets did mean that </w:t>
      </w:r>
      <w:r w:rsidR="004720FA">
        <w:rPr>
          <w:rFonts w:ascii="Arial" w:hAnsi="Arial" w:cs="Arial"/>
        </w:rPr>
        <w:t xml:space="preserve">they </w:t>
      </w:r>
      <w:r w:rsidR="00EF4658" w:rsidRPr="00F60FC2">
        <w:rPr>
          <w:rFonts w:ascii="Arial" w:hAnsi="Arial" w:cs="Arial"/>
        </w:rPr>
        <w:t>had specific time for activities and outings to happen</w:t>
      </w:r>
      <w:r w:rsidR="004720FA">
        <w:rPr>
          <w:rFonts w:ascii="Arial" w:hAnsi="Arial" w:cs="Arial"/>
        </w:rPr>
        <w:t>,</w:t>
      </w:r>
      <w:r w:rsidR="00EF4658" w:rsidRPr="00F60FC2">
        <w:rPr>
          <w:rFonts w:ascii="Arial" w:hAnsi="Arial" w:cs="Arial"/>
        </w:rPr>
        <w:t xml:space="preserve"> but</w:t>
      </w:r>
      <w:r w:rsidR="004720FA">
        <w:rPr>
          <w:rFonts w:ascii="Arial" w:hAnsi="Arial" w:cs="Arial"/>
        </w:rPr>
        <w:t xml:space="preserve"> it</w:t>
      </w:r>
      <w:r w:rsidR="00EF4658" w:rsidRPr="00F60FC2">
        <w:rPr>
          <w:rFonts w:ascii="Arial" w:hAnsi="Arial" w:cs="Arial"/>
        </w:rPr>
        <w:t xml:space="preserve"> was in a more structured way.</w:t>
      </w:r>
    </w:p>
    <w:p w:rsidR="00EF4658" w:rsidRPr="00F60FC2" w:rsidRDefault="00EF4658" w:rsidP="00EF4658">
      <w:pPr>
        <w:pBdr>
          <w:top w:val="single" w:sz="48" w:space="1" w:color="403152" w:themeColor="accent4" w:themeShade="80"/>
          <w:left w:val="single" w:sz="48" w:space="4" w:color="403152" w:themeColor="accent4" w:themeShade="80"/>
        </w:pBdr>
        <w:rPr>
          <w:rFonts w:ascii="Arial" w:hAnsi="Arial" w:cs="Arial"/>
        </w:rPr>
      </w:pPr>
      <w:r w:rsidRPr="00F60FC2">
        <w:rPr>
          <w:rFonts w:ascii="Arial" w:hAnsi="Arial" w:cs="Arial"/>
        </w:rPr>
        <w:t>Results from the questionnaire suggested that t</w:t>
      </w:r>
      <w:r w:rsidR="005E4793">
        <w:rPr>
          <w:rFonts w:ascii="Arial" w:hAnsi="Arial" w:cs="Arial"/>
        </w:rPr>
        <w:t>he people who were more able</w:t>
      </w:r>
      <w:r w:rsidRPr="00F60FC2">
        <w:rPr>
          <w:rFonts w:ascii="Arial" w:hAnsi="Arial" w:cs="Arial"/>
        </w:rPr>
        <w:t xml:space="preserve"> had the greater </w:t>
      </w:r>
      <w:r>
        <w:rPr>
          <w:rFonts w:ascii="Arial" w:hAnsi="Arial" w:cs="Arial"/>
        </w:rPr>
        <w:t>increase around independence, bei</w:t>
      </w:r>
      <w:r w:rsidRPr="00F60FC2">
        <w:rPr>
          <w:rFonts w:ascii="Arial" w:hAnsi="Arial" w:cs="Arial"/>
        </w:rPr>
        <w:t>ng able to access more of their home</w:t>
      </w:r>
      <w:r w:rsidR="004720FA">
        <w:rPr>
          <w:rFonts w:ascii="Arial" w:hAnsi="Arial" w:cs="Arial"/>
        </w:rPr>
        <w:t xml:space="preserve"> </w:t>
      </w:r>
      <w:r w:rsidRPr="00F60FC2">
        <w:rPr>
          <w:rFonts w:ascii="Arial" w:hAnsi="Arial" w:cs="Arial"/>
        </w:rPr>
        <w:t xml:space="preserve"> and having more time</w:t>
      </w:r>
      <w:r w:rsidR="004720FA">
        <w:rPr>
          <w:rFonts w:ascii="Arial" w:hAnsi="Arial" w:cs="Arial"/>
        </w:rPr>
        <w:t xml:space="preserve"> to do this given the </w:t>
      </w:r>
      <w:r w:rsidR="005E4793">
        <w:rPr>
          <w:rFonts w:ascii="Arial" w:hAnsi="Arial" w:cs="Arial"/>
        </w:rPr>
        <w:t>higher levels of staffing</w:t>
      </w:r>
      <w:r w:rsidR="004720FA">
        <w:rPr>
          <w:rFonts w:ascii="Arial" w:hAnsi="Arial" w:cs="Arial"/>
        </w:rPr>
        <w:t xml:space="preserve">  available</w:t>
      </w:r>
      <w:r w:rsidR="005E4793">
        <w:rPr>
          <w:rFonts w:ascii="Arial" w:hAnsi="Arial" w:cs="Arial"/>
        </w:rPr>
        <w:t xml:space="preserve"> </w:t>
      </w:r>
      <w:r w:rsidRPr="00F60FC2">
        <w:rPr>
          <w:rFonts w:ascii="Arial" w:hAnsi="Arial" w:cs="Arial"/>
        </w:rPr>
        <w:t xml:space="preserve">and </w:t>
      </w:r>
      <w:r>
        <w:rPr>
          <w:rFonts w:ascii="Arial" w:hAnsi="Arial" w:cs="Arial"/>
        </w:rPr>
        <w:t xml:space="preserve">individual </w:t>
      </w:r>
      <w:r w:rsidR="005E4793">
        <w:rPr>
          <w:rFonts w:ascii="Arial" w:hAnsi="Arial" w:cs="Arial"/>
        </w:rPr>
        <w:t>support</w:t>
      </w:r>
      <w:r>
        <w:rPr>
          <w:rFonts w:ascii="Arial" w:hAnsi="Arial" w:cs="Arial"/>
        </w:rPr>
        <w:t>.</w:t>
      </w:r>
    </w:p>
    <w:p w:rsidR="00E64323" w:rsidRDefault="00E64323" w:rsidP="00B303F6">
      <w:pPr>
        <w:pBdr>
          <w:top w:val="single" w:sz="48" w:space="1" w:color="403152" w:themeColor="accent4" w:themeShade="80"/>
          <w:left w:val="single" w:sz="48" w:space="4" w:color="403152" w:themeColor="accent4" w:themeShade="80"/>
        </w:pBdr>
        <w:rPr>
          <w:rFonts w:ascii="Arial" w:hAnsi="Arial" w:cs="Arial"/>
        </w:rPr>
      </w:pPr>
    </w:p>
    <w:p w:rsidR="00B303F6" w:rsidRPr="00680BF1" w:rsidRDefault="00B303F6" w:rsidP="00B303F6">
      <w:pPr>
        <w:pBdr>
          <w:top w:val="single" w:sz="48" w:space="1" w:color="403152" w:themeColor="accent4" w:themeShade="80"/>
          <w:left w:val="single" w:sz="48" w:space="4" w:color="403152" w:themeColor="accent4" w:themeShade="80"/>
        </w:pBdr>
        <w:rPr>
          <w:rFonts w:ascii="Arial" w:hAnsi="Arial" w:cs="Arial"/>
          <w:b/>
        </w:rPr>
      </w:pPr>
      <w:r w:rsidRPr="00680BF1">
        <w:rPr>
          <w:rFonts w:ascii="Arial" w:hAnsi="Arial" w:cs="Arial"/>
          <w:b/>
        </w:rPr>
        <w:t>Transport</w:t>
      </w:r>
    </w:p>
    <w:p w:rsidR="00B303F6" w:rsidRDefault="00B303F6" w:rsidP="00B303F6">
      <w:pPr>
        <w:pBdr>
          <w:top w:val="single" w:sz="48" w:space="1" w:color="403152" w:themeColor="accent4" w:themeShade="80"/>
          <w:left w:val="single" w:sz="48" w:space="4" w:color="403152" w:themeColor="accent4" w:themeShade="80"/>
        </w:pBdr>
        <w:rPr>
          <w:rFonts w:ascii="Arial" w:hAnsi="Arial" w:cs="Arial"/>
          <w:b/>
        </w:rPr>
      </w:pPr>
      <w:r w:rsidRPr="00680BF1">
        <w:rPr>
          <w:rFonts w:ascii="Arial" w:hAnsi="Arial" w:cs="Arial"/>
          <w:b/>
        </w:rPr>
        <w:t>We asked people to compare how they use transport to get to the places they go to and how this d</w:t>
      </w:r>
      <w:r w:rsidR="00680BF1">
        <w:rPr>
          <w:rFonts w:ascii="Arial" w:hAnsi="Arial" w:cs="Arial"/>
          <w:b/>
        </w:rPr>
        <w:t xml:space="preserve">iffers with the transport </w:t>
      </w:r>
      <w:r w:rsidR="00C40997">
        <w:rPr>
          <w:rFonts w:ascii="Arial" w:hAnsi="Arial" w:cs="Arial"/>
          <w:b/>
        </w:rPr>
        <w:t>at Ridge Hill Hospital</w:t>
      </w:r>
    </w:p>
    <w:p w:rsidR="0027203D" w:rsidRDefault="0027203D" w:rsidP="0027203D">
      <w:pPr>
        <w:pBdr>
          <w:top w:val="single" w:sz="48" w:space="1" w:color="403152" w:themeColor="accent4" w:themeShade="80"/>
          <w:left w:val="single" w:sz="48" w:space="4" w:color="403152" w:themeColor="accent4" w:themeShade="80"/>
        </w:pBdr>
        <w:jc w:val="center"/>
        <w:rPr>
          <w:rFonts w:ascii="Arial" w:hAnsi="Arial" w:cs="Arial"/>
          <w:b/>
        </w:rPr>
      </w:pPr>
      <w:r>
        <w:rPr>
          <w:noProof/>
          <w:lang w:eastAsia="en-GB"/>
        </w:rPr>
        <w:drawing>
          <wp:inline distT="0" distB="0" distL="0" distR="0" wp14:anchorId="5EE07B68" wp14:editId="64EB2E6E">
            <wp:extent cx="4381500" cy="20288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203D" w:rsidRPr="00680BF1" w:rsidRDefault="0027203D" w:rsidP="0027203D">
      <w:pPr>
        <w:pBdr>
          <w:top w:val="single" w:sz="48" w:space="1" w:color="403152" w:themeColor="accent4" w:themeShade="80"/>
          <w:left w:val="single" w:sz="48" w:space="4" w:color="403152" w:themeColor="accent4" w:themeShade="80"/>
        </w:pBdr>
        <w:jc w:val="center"/>
        <w:rPr>
          <w:rFonts w:ascii="Arial" w:hAnsi="Arial" w:cs="Arial"/>
          <w:b/>
        </w:rPr>
      </w:pPr>
      <w:r>
        <w:rPr>
          <w:noProof/>
          <w:lang w:eastAsia="en-GB"/>
        </w:rPr>
        <w:drawing>
          <wp:inline distT="0" distB="0" distL="0" distR="0" wp14:anchorId="2DB92DEC" wp14:editId="34238FC0">
            <wp:extent cx="4381500" cy="20288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459C" w:rsidRDefault="00B303F6" w:rsidP="00EF4658">
      <w:pPr>
        <w:pBdr>
          <w:top w:val="single" w:sz="48" w:space="1" w:color="403152" w:themeColor="accent4" w:themeShade="80"/>
          <w:left w:val="single" w:sz="48" w:space="4" w:color="403152" w:themeColor="accent4" w:themeShade="80"/>
        </w:pBdr>
        <w:rPr>
          <w:rFonts w:ascii="Arial" w:hAnsi="Arial" w:cs="Arial"/>
        </w:rPr>
      </w:pPr>
      <w:r w:rsidRPr="00B303F6">
        <w:rPr>
          <w:rFonts w:ascii="Arial" w:hAnsi="Arial" w:cs="Arial"/>
        </w:rPr>
        <w:t>A range of transport methods were commonly</w:t>
      </w:r>
      <w:r w:rsidR="00680BF1">
        <w:rPr>
          <w:rFonts w:ascii="Arial" w:hAnsi="Arial" w:cs="Arial"/>
        </w:rPr>
        <w:t xml:space="preserve"> used for people, these include </w:t>
      </w:r>
      <w:r w:rsidRPr="00B303F6">
        <w:rPr>
          <w:rFonts w:ascii="Arial" w:hAnsi="Arial" w:cs="Arial"/>
        </w:rPr>
        <w:t>some</w:t>
      </w:r>
      <w:r w:rsidR="0009559B">
        <w:rPr>
          <w:rFonts w:ascii="Arial" w:hAnsi="Arial" w:cs="Arial"/>
        </w:rPr>
        <w:t xml:space="preserve"> having their own mobility cars</w:t>
      </w:r>
      <w:r w:rsidRPr="00B303F6">
        <w:rPr>
          <w:rFonts w:ascii="Arial" w:hAnsi="Arial" w:cs="Arial"/>
        </w:rPr>
        <w:t xml:space="preserve">, others used regular taxis and some had used </w:t>
      </w:r>
      <w:r w:rsidR="00680BF1">
        <w:rPr>
          <w:rFonts w:ascii="Arial" w:hAnsi="Arial" w:cs="Arial"/>
        </w:rPr>
        <w:t>public transport where possible</w:t>
      </w:r>
      <w:r w:rsidRPr="00B303F6">
        <w:rPr>
          <w:rFonts w:ascii="Arial" w:hAnsi="Arial" w:cs="Arial"/>
        </w:rPr>
        <w:t xml:space="preserve">. </w:t>
      </w:r>
      <w:r w:rsidR="004720FA" w:rsidRPr="004720FA">
        <w:rPr>
          <w:rFonts w:ascii="Arial" w:hAnsi="Arial" w:cs="Arial"/>
        </w:rPr>
        <w:t>There was also positive feedback where people had used coaches for day trips, train and public transport as well a further option accessing holidays w</w:t>
      </w:r>
      <w:r w:rsidR="0097459C">
        <w:rPr>
          <w:rFonts w:ascii="Arial" w:hAnsi="Arial" w:cs="Arial"/>
        </w:rPr>
        <w:t>here they had used a hired car.</w:t>
      </w:r>
    </w:p>
    <w:p w:rsidR="0097459C" w:rsidRDefault="00A030DE" w:rsidP="00EF4658">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Using taxis were</w:t>
      </w:r>
      <w:r w:rsidR="0097459C">
        <w:rPr>
          <w:rFonts w:ascii="Arial" w:hAnsi="Arial" w:cs="Arial"/>
        </w:rPr>
        <w:t xml:space="preserve"> comm</w:t>
      </w:r>
      <w:r>
        <w:rPr>
          <w:rFonts w:ascii="Arial" w:hAnsi="Arial" w:cs="Arial"/>
        </w:rPr>
        <w:t>on practice for some. Certain taxi drivers had become regulars to some with and people liked services that</w:t>
      </w:r>
      <w:r w:rsidR="0097459C">
        <w:rPr>
          <w:rFonts w:ascii="Arial" w:hAnsi="Arial" w:cs="Arial"/>
        </w:rPr>
        <w:t xml:space="preserve"> consistency and familia</w:t>
      </w:r>
      <w:r>
        <w:rPr>
          <w:rFonts w:ascii="Arial" w:hAnsi="Arial" w:cs="Arial"/>
        </w:rPr>
        <w:t>rity</w:t>
      </w:r>
      <w:r w:rsidR="0097459C">
        <w:rPr>
          <w:rFonts w:ascii="Arial" w:hAnsi="Arial" w:cs="Arial"/>
        </w:rPr>
        <w:t xml:space="preserve">. </w:t>
      </w:r>
    </w:p>
    <w:p w:rsidR="004720FA" w:rsidRDefault="0097459C" w:rsidP="00EF4658">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lastRenderedPageBreak/>
        <w:t xml:space="preserve">People found taxis to sometimes be </w:t>
      </w:r>
      <w:r w:rsidR="00065F48">
        <w:rPr>
          <w:rFonts w:ascii="Arial" w:hAnsi="Arial" w:cs="Arial"/>
        </w:rPr>
        <w:t>awkward and</w:t>
      </w:r>
      <w:r>
        <w:rPr>
          <w:rFonts w:ascii="Arial" w:hAnsi="Arial" w:cs="Arial"/>
        </w:rPr>
        <w:t xml:space="preserve"> couldn’t always be as </w:t>
      </w:r>
      <w:r w:rsidR="00065F48">
        <w:rPr>
          <w:rFonts w:ascii="Arial" w:hAnsi="Arial" w:cs="Arial"/>
        </w:rPr>
        <w:t>flexible as</w:t>
      </w:r>
      <w:r>
        <w:rPr>
          <w:rFonts w:ascii="Arial" w:hAnsi="Arial" w:cs="Arial"/>
        </w:rPr>
        <w:t xml:space="preserve"> people needed. Support staff would often comment how high</w:t>
      </w:r>
      <w:r w:rsidR="00065F48">
        <w:rPr>
          <w:rFonts w:ascii="Arial" w:hAnsi="Arial" w:cs="Arial"/>
        </w:rPr>
        <w:t xml:space="preserve"> the cost was to individuals and I</w:t>
      </w:r>
      <w:r w:rsidR="00A030DE">
        <w:rPr>
          <w:rFonts w:ascii="Arial" w:hAnsi="Arial" w:cs="Arial"/>
        </w:rPr>
        <w:t xml:space="preserve"> did find that many staff unaware</w:t>
      </w:r>
      <w:r>
        <w:rPr>
          <w:rFonts w:ascii="Arial" w:hAnsi="Arial" w:cs="Arial"/>
        </w:rPr>
        <w:t xml:space="preserve"> of the actual amount in </w:t>
      </w:r>
      <w:r w:rsidR="00A030DE">
        <w:rPr>
          <w:rFonts w:ascii="Arial" w:hAnsi="Arial" w:cs="Arial"/>
        </w:rPr>
        <w:t>people’s</w:t>
      </w:r>
      <w:r>
        <w:rPr>
          <w:rFonts w:ascii="Arial" w:hAnsi="Arial" w:cs="Arial"/>
        </w:rPr>
        <w:t xml:space="preserve"> mobility budget. Some support workers presumed that cars offered greater freedom compared to using taxis, for some this may be the case but </w:t>
      </w:r>
      <w:r w:rsidR="00065F48">
        <w:rPr>
          <w:rFonts w:ascii="Arial" w:hAnsi="Arial" w:cs="Arial"/>
        </w:rPr>
        <w:t>it is on a very individual basis. As it is a lengthy commitment for some that can be static should your mobility change or you have limited driving support staff</w:t>
      </w:r>
      <w:r>
        <w:rPr>
          <w:rFonts w:ascii="Arial" w:hAnsi="Arial" w:cs="Arial"/>
        </w:rPr>
        <w:t xml:space="preserve"> </w:t>
      </w:r>
      <w:proofErr w:type="gramStart"/>
      <w:r w:rsidR="00065F48">
        <w:rPr>
          <w:rFonts w:ascii="Arial" w:hAnsi="Arial" w:cs="Arial"/>
        </w:rPr>
        <w:t>available.</w:t>
      </w:r>
      <w:proofErr w:type="gramEnd"/>
    </w:p>
    <w:p w:rsidR="00065F48" w:rsidRDefault="00065F48" w:rsidP="00EF4658">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For a couple of people transport that was originally planned this the transition into the community had changed and their form of transport was not as appropriate for them anymore or was not financially viable as they had hoped.</w:t>
      </w:r>
    </w:p>
    <w:p w:rsidR="00A030DE" w:rsidRDefault="00B303F6" w:rsidP="00EF4658">
      <w:pPr>
        <w:pBdr>
          <w:top w:val="single" w:sz="48" w:space="1" w:color="403152" w:themeColor="accent4" w:themeShade="80"/>
          <w:left w:val="single" w:sz="48" w:space="4" w:color="403152" w:themeColor="accent4" w:themeShade="80"/>
        </w:pBdr>
        <w:rPr>
          <w:rFonts w:ascii="Arial" w:hAnsi="Arial" w:cs="Arial"/>
        </w:rPr>
      </w:pPr>
      <w:r w:rsidRPr="00B303F6">
        <w:rPr>
          <w:rFonts w:ascii="Arial" w:hAnsi="Arial" w:cs="Arial"/>
        </w:rPr>
        <w:t>Minibuses were provi</w:t>
      </w:r>
      <w:r w:rsidR="00680BF1">
        <w:rPr>
          <w:rFonts w:ascii="Arial" w:hAnsi="Arial" w:cs="Arial"/>
        </w:rPr>
        <w:t xml:space="preserve">ded when living at the hospital, </w:t>
      </w:r>
      <w:r w:rsidRPr="00B303F6">
        <w:rPr>
          <w:rFonts w:ascii="Arial" w:hAnsi="Arial" w:cs="Arial"/>
        </w:rPr>
        <w:t>but often people would have to share a journey with others or</w:t>
      </w:r>
      <w:r w:rsidR="004720FA">
        <w:rPr>
          <w:rFonts w:ascii="Arial" w:hAnsi="Arial" w:cs="Arial"/>
        </w:rPr>
        <w:t xml:space="preserve"> have to wait in turn for your </w:t>
      </w:r>
      <w:r w:rsidRPr="00B303F6">
        <w:rPr>
          <w:rFonts w:ascii="Arial" w:hAnsi="Arial" w:cs="Arial"/>
        </w:rPr>
        <w:t>chance to use it.</w:t>
      </w:r>
      <w:r w:rsidR="00680BF1">
        <w:rPr>
          <w:rFonts w:ascii="Arial" w:hAnsi="Arial" w:cs="Arial"/>
        </w:rPr>
        <w:t xml:space="preserve"> </w:t>
      </w:r>
      <w:r w:rsidR="00065F48">
        <w:rPr>
          <w:rFonts w:ascii="Arial" w:hAnsi="Arial" w:cs="Arial"/>
        </w:rPr>
        <w:t xml:space="preserve">Making many frustrated and limited to the amount of times they </w:t>
      </w:r>
      <w:r w:rsidR="00A030DE">
        <w:rPr>
          <w:rFonts w:ascii="Arial" w:hAnsi="Arial" w:cs="Arial"/>
        </w:rPr>
        <w:t>could access outside activities.</w:t>
      </w:r>
    </w:p>
    <w:p w:rsidR="00065F48" w:rsidRPr="00EF4658" w:rsidRDefault="00A030DE" w:rsidP="00EF4658">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The </w:t>
      </w:r>
      <w:r w:rsidR="00372C1F">
        <w:rPr>
          <w:rFonts w:ascii="Arial" w:hAnsi="Arial" w:cs="Arial"/>
        </w:rPr>
        <w:t>questionnaire’s</w:t>
      </w:r>
      <w:r w:rsidR="00065F48">
        <w:rPr>
          <w:rFonts w:ascii="Arial" w:hAnsi="Arial" w:cs="Arial"/>
        </w:rPr>
        <w:t xml:space="preserve"> suggested that transport has been greatly </w:t>
      </w:r>
      <w:r w:rsidR="00841CB9">
        <w:rPr>
          <w:rFonts w:ascii="Arial" w:hAnsi="Arial" w:cs="Arial"/>
        </w:rPr>
        <w:t>improved. I</w:t>
      </w:r>
      <w:r w:rsidR="00372C1F">
        <w:rPr>
          <w:rFonts w:ascii="Arial" w:hAnsi="Arial" w:cs="Arial"/>
        </w:rPr>
        <w:t>ndividuals were planned with around outings</w:t>
      </w:r>
      <w:r w:rsidR="00065F48">
        <w:rPr>
          <w:rFonts w:ascii="Arial" w:hAnsi="Arial" w:cs="Arial"/>
        </w:rPr>
        <w:t xml:space="preserve"> and whi</w:t>
      </w:r>
      <w:r w:rsidR="00841CB9">
        <w:rPr>
          <w:rFonts w:ascii="Arial" w:hAnsi="Arial" w:cs="Arial"/>
        </w:rPr>
        <w:t>ch mode of transport would be</w:t>
      </w:r>
      <w:r w:rsidR="00065F48">
        <w:rPr>
          <w:rFonts w:ascii="Arial" w:hAnsi="Arial" w:cs="Arial"/>
        </w:rPr>
        <w:t xml:space="preserve"> best. Purchases to mobilit</w:t>
      </w:r>
      <w:r w:rsidR="00372C1F">
        <w:rPr>
          <w:rFonts w:ascii="Arial" w:hAnsi="Arial" w:cs="Arial"/>
        </w:rPr>
        <w:t>y cars seemed popular with some but thoughts around</w:t>
      </w:r>
      <w:r w:rsidR="00841CB9">
        <w:rPr>
          <w:rFonts w:ascii="Arial" w:hAnsi="Arial" w:cs="Arial"/>
        </w:rPr>
        <w:t xml:space="preserve"> if the person can maximise the use of this</w:t>
      </w:r>
      <w:r w:rsidR="00372C1F">
        <w:rPr>
          <w:rFonts w:ascii="Arial" w:hAnsi="Arial" w:cs="Arial"/>
        </w:rPr>
        <w:t xml:space="preserve"> still</w:t>
      </w:r>
      <w:r w:rsidR="00841CB9">
        <w:rPr>
          <w:rFonts w:ascii="Arial" w:hAnsi="Arial" w:cs="Arial"/>
        </w:rPr>
        <w:t xml:space="preserve"> needed careful consideration.</w:t>
      </w:r>
      <w:r w:rsidR="00065F48">
        <w:rPr>
          <w:rFonts w:ascii="Arial" w:hAnsi="Arial" w:cs="Arial"/>
        </w:rPr>
        <w:t xml:space="preserve"> </w:t>
      </w:r>
    </w:p>
    <w:p w:rsidR="00345BB9" w:rsidRDefault="00345BB9" w:rsidP="00F81715">
      <w:pPr>
        <w:pBdr>
          <w:top w:val="single" w:sz="48" w:space="1" w:color="403152" w:themeColor="accent4" w:themeShade="80"/>
          <w:left w:val="single" w:sz="48" w:space="4" w:color="403152" w:themeColor="accent4" w:themeShade="80"/>
        </w:pBdr>
        <w:jc w:val="center"/>
        <w:rPr>
          <w:rFonts w:ascii="Arial" w:hAnsi="Arial" w:cs="Arial"/>
        </w:rPr>
      </w:pPr>
    </w:p>
    <w:p w:rsidR="0063470D" w:rsidRPr="00BD05B0" w:rsidRDefault="0063470D" w:rsidP="00B303F6">
      <w:pPr>
        <w:pBdr>
          <w:top w:val="single" w:sz="48" w:space="1" w:color="403152" w:themeColor="accent4" w:themeShade="80"/>
          <w:left w:val="single" w:sz="48" w:space="4" w:color="403152" w:themeColor="accent4" w:themeShade="80"/>
        </w:pBdr>
        <w:rPr>
          <w:rFonts w:ascii="Arial" w:hAnsi="Arial" w:cs="Arial"/>
          <w:b/>
        </w:rPr>
      </w:pPr>
      <w:r w:rsidRPr="00BD05B0">
        <w:rPr>
          <w:rFonts w:ascii="Arial" w:hAnsi="Arial" w:cs="Arial"/>
          <w:b/>
        </w:rPr>
        <w:t>Housing</w:t>
      </w:r>
    </w:p>
    <w:p w:rsidR="0063470D" w:rsidRPr="00BD05B0" w:rsidRDefault="0063470D" w:rsidP="00B303F6">
      <w:pPr>
        <w:pBdr>
          <w:top w:val="single" w:sz="48" w:space="1" w:color="403152" w:themeColor="accent4" w:themeShade="80"/>
          <w:left w:val="single" w:sz="48" w:space="4" w:color="403152" w:themeColor="accent4" w:themeShade="80"/>
        </w:pBdr>
        <w:rPr>
          <w:rFonts w:ascii="Arial" w:hAnsi="Arial" w:cs="Arial"/>
          <w:b/>
        </w:rPr>
      </w:pPr>
      <w:r w:rsidRPr="00BD05B0">
        <w:rPr>
          <w:rFonts w:ascii="Arial" w:hAnsi="Arial" w:cs="Arial"/>
          <w:b/>
        </w:rPr>
        <w:t>We asked people what their housing was like now</w:t>
      </w:r>
      <w:r w:rsidR="007E1CDB" w:rsidRPr="00BD05B0">
        <w:rPr>
          <w:rFonts w:ascii="Arial" w:hAnsi="Arial" w:cs="Arial"/>
          <w:b/>
        </w:rPr>
        <w:t>,</w:t>
      </w:r>
      <w:r w:rsidRPr="00BD05B0">
        <w:rPr>
          <w:rFonts w:ascii="Arial" w:hAnsi="Arial" w:cs="Arial"/>
          <w:b/>
        </w:rPr>
        <w:t xml:space="preserve"> compared to life</w:t>
      </w:r>
      <w:r w:rsidR="00C40997">
        <w:rPr>
          <w:rFonts w:ascii="Arial" w:hAnsi="Arial" w:cs="Arial"/>
          <w:b/>
        </w:rPr>
        <w:t xml:space="preserve"> living</w:t>
      </w:r>
      <w:r w:rsidRPr="00BD05B0">
        <w:rPr>
          <w:rFonts w:ascii="Arial" w:hAnsi="Arial" w:cs="Arial"/>
          <w:b/>
        </w:rPr>
        <w:t xml:space="preserve"> at Ridge Hill</w:t>
      </w:r>
    </w:p>
    <w:p w:rsidR="0063470D" w:rsidRDefault="0063470D" w:rsidP="00B303F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Hospital living was hard to mak</w:t>
      </w:r>
      <w:r w:rsidR="002949AA">
        <w:rPr>
          <w:rFonts w:ascii="Arial" w:hAnsi="Arial" w:cs="Arial"/>
        </w:rPr>
        <w:t xml:space="preserve">e homely although it </w:t>
      </w:r>
      <w:r w:rsidR="007E1CDB">
        <w:rPr>
          <w:rFonts w:ascii="Arial" w:hAnsi="Arial" w:cs="Arial"/>
        </w:rPr>
        <w:t>had attempted attempt to</w:t>
      </w:r>
      <w:r>
        <w:rPr>
          <w:rFonts w:ascii="Arial" w:hAnsi="Arial" w:cs="Arial"/>
        </w:rPr>
        <w:t xml:space="preserve"> en</w:t>
      </w:r>
      <w:r w:rsidR="002949AA">
        <w:rPr>
          <w:rFonts w:ascii="Arial" w:hAnsi="Arial" w:cs="Arial"/>
        </w:rPr>
        <w:t xml:space="preserve">vironments as home-like as it </w:t>
      </w:r>
      <w:r>
        <w:rPr>
          <w:rFonts w:ascii="Arial" w:hAnsi="Arial" w:cs="Arial"/>
        </w:rPr>
        <w:t xml:space="preserve">could. In </w:t>
      </w:r>
      <w:r w:rsidR="00C40855">
        <w:rPr>
          <w:rFonts w:ascii="Arial" w:hAnsi="Arial" w:cs="Arial"/>
        </w:rPr>
        <w:t>contrast to this</w:t>
      </w:r>
      <w:r>
        <w:rPr>
          <w:rFonts w:ascii="Arial" w:hAnsi="Arial" w:cs="Arial"/>
        </w:rPr>
        <w:t xml:space="preserve"> all of the people who left Ridge Hill are now living in </w:t>
      </w:r>
      <w:r w:rsidR="00AE7C9B">
        <w:rPr>
          <w:rFonts w:ascii="Arial" w:hAnsi="Arial" w:cs="Arial"/>
        </w:rPr>
        <w:t>homes</w:t>
      </w:r>
      <w:r>
        <w:rPr>
          <w:rFonts w:ascii="Arial" w:hAnsi="Arial" w:cs="Arial"/>
        </w:rPr>
        <w:t xml:space="preserve"> of their own, shared supported living</w:t>
      </w:r>
      <w:r w:rsidR="00C40855">
        <w:rPr>
          <w:rFonts w:ascii="Arial" w:hAnsi="Arial" w:cs="Arial"/>
        </w:rPr>
        <w:t xml:space="preserve"> schemes and two individuals</w:t>
      </w:r>
      <w:r>
        <w:rPr>
          <w:rFonts w:ascii="Arial" w:hAnsi="Arial" w:cs="Arial"/>
        </w:rPr>
        <w:t xml:space="preserve"> live in small residential homes. </w:t>
      </w:r>
    </w:p>
    <w:p w:rsidR="0063470D" w:rsidRDefault="00AE7C9B" w:rsidP="00B303F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Living in own home</w:t>
      </w:r>
      <w:r w:rsidR="004E0CB3">
        <w:rPr>
          <w:rFonts w:ascii="Arial" w:hAnsi="Arial" w:cs="Arial"/>
        </w:rPr>
        <w:t xml:space="preserve">s </w:t>
      </w:r>
      <w:r w:rsidR="00C40855">
        <w:rPr>
          <w:rFonts w:ascii="Arial" w:hAnsi="Arial" w:cs="Arial"/>
        </w:rPr>
        <w:t>not hospital wards</w:t>
      </w:r>
      <w:r>
        <w:rPr>
          <w:rFonts w:ascii="Arial" w:hAnsi="Arial" w:cs="Arial"/>
        </w:rPr>
        <w:t>,</w:t>
      </w:r>
      <w:r w:rsidR="00C40855">
        <w:rPr>
          <w:rFonts w:ascii="Arial" w:hAnsi="Arial" w:cs="Arial"/>
        </w:rPr>
        <w:t xml:space="preserve"> </w:t>
      </w:r>
      <w:r w:rsidR="000302D1">
        <w:rPr>
          <w:rFonts w:ascii="Arial" w:hAnsi="Arial" w:cs="Arial"/>
        </w:rPr>
        <w:t>was recognised as</w:t>
      </w:r>
      <w:r w:rsidR="007E1CDB">
        <w:rPr>
          <w:rFonts w:ascii="Arial" w:hAnsi="Arial" w:cs="Arial"/>
        </w:rPr>
        <w:t xml:space="preserve"> the greatest change for most. With the closure having a long planning process and resources made available to fund new housing project</w:t>
      </w:r>
      <w:r w:rsidR="00011D11">
        <w:rPr>
          <w:rFonts w:ascii="Arial" w:hAnsi="Arial" w:cs="Arial"/>
        </w:rPr>
        <w:t xml:space="preserve">s where most </w:t>
      </w:r>
      <w:r w:rsidR="007E1CDB">
        <w:rPr>
          <w:rFonts w:ascii="Arial" w:hAnsi="Arial" w:cs="Arial"/>
        </w:rPr>
        <w:t xml:space="preserve">homes </w:t>
      </w:r>
      <w:r w:rsidR="00011D11">
        <w:rPr>
          <w:rFonts w:ascii="Arial" w:hAnsi="Arial" w:cs="Arial"/>
        </w:rPr>
        <w:t xml:space="preserve">were </w:t>
      </w:r>
      <w:r w:rsidR="007E1CDB">
        <w:rPr>
          <w:rFonts w:ascii="Arial" w:hAnsi="Arial" w:cs="Arial"/>
        </w:rPr>
        <w:t>s</w:t>
      </w:r>
      <w:r w:rsidR="006B1F87">
        <w:rPr>
          <w:rFonts w:ascii="Arial" w:hAnsi="Arial" w:cs="Arial"/>
        </w:rPr>
        <w:t>pecifically designed around the</w:t>
      </w:r>
      <w:r w:rsidR="00011D11">
        <w:rPr>
          <w:rFonts w:ascii="Arial" w:hAnsi="Arial" w:cs="Arial"/>
        </w:rPr>
        <w:t xml:space="preserve"> </w:t>
      </w:r>
      <w:r w:rsidR="002949AA">
        <w:rPr>
          <w:rFonts w:ascii="Arial" w:hAnsi="Arial" w:cs="Arial"/>
        </w:rPr>
        <w:t>individual’s</w:t>
      </w:r>
      <w:r w:rsidR="00011D11">
        <w:rPr>
          <w:rFonts w:ascii="Arial" w:hAnsi="Arial" w:cs="Arial"/>
        </w:rPr>
        <w:t xml:space="preserve"> needs</w:t>
      </w:r>
      <w:r w:rsidR="007E1CDB">
        <w:rPr>
          <w:rFonts w:ascii="Arial" w:hAnsi="Arial" w:cs="Arial"/>
        </w:rPr>
        <w:t>.</w:t>
      </w:r>
    </w:p>
    <w:p w:rsidR="00CB293D" w:rsidRDefault="007E1CDB" w:rsidP="00CB293D">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Comments from the people who took part in the questionnaire said how </w:t>
      </w:r>
      <w:r w:rsidR="00011D11">
        <w:rPr>
          <w:rFonts w:ascii="Arial" w:hAnsi="Arial" w:cs="Arial"/>
        </w:rPr>
        <w:t xml:space="preserve">people’s homes had become </w:t>
      </w:r>
      <w:r w:rsidR="00C40855">
        <w:rPr>
          <w:rFonts w:ascii="Arial" w:hAnsi="Arial" w:cs="Arial"/>
        </w:rPr>
        <w:t xml:space="preserve">individual and </w:t>
      </w:r>
      <w:r>
        <w:rPr>
          <w:rFonts w:ascii="Arial" w:hAnsi="Arial" w:cs="Arial"/>
        </w:rPr>
        <w:t>home</w:t>
      </w:r>
      <w:r w:rsidR="00C40855">
        <w:rPr>
          <w:rFonts w:ascii="Arial" w:hAnsi="Arial" w:cs="Arial"/>
        </w:rPr>
        <w:t>ly</w:t>
      </w:r>
      <w:r>
        <w:rPr>
          <w:rFonts w:ascii="Arial" w:hAnsi="Arial" w:cs="Arial"/>
        </w:rPr>
        <w:t>. People’s</w:t>
      </w:r>
      <w:r w:rsidR="00C40855">
        <w:rPr>
          <w:rFonts w:ascii="Arial" w:hAnsi="Arial" w:cs="Arial"/>
        </w:rPr>
        <w:t xml:space="preserve"> properties w</w:t>
      </w:r>
      <w:r w:rsidR="006B1F87">
        <w:rPr>
          <w:rFonts w:ascii="Arial" w:hAnsi="Arial" w:cs="Arial"/>
        </w:rPr>
        <w:t xml:space="preserve">ere individually </w:t>
      </w:r>
      <w:proofErr w:type="gramStart"/>
      <w:r w:rsidR="006B1F87">
        <w:rPr>
          <w:rFonts w:ascii="Arial" w:hAnsi="Arial" w:cs="Arial"/>
        </w:rPr>
        <w:t xml:space="preserve">decorated </w:t>
      </w:r>
      <w:r w:rsidR="00C40855">
        <w:rPr>
          <w:rFonts w:ascii="Arial" w:hAnsi="Arial" w:cs="Arial"/>
        </w:rPr>
        <w:t xml:space="preserve"> and</w:t>
      </w:r>
      <w:proofErr w:type="gramEnd"/>
      <w:r w:rsidR="00C40855">
        <w:rPr>
          <w:rFonts w:ascii="Arial" w:hAnsi="Arial" w:cs="Arial"/>
        </w:rPr>
        <w:t xml:space="preserve"> o</w:t>
      </w:r>
      <w:r>
        <w:rPr>
          <w:rFonts w:ascii="Arial" w:hAnsi="Arial" w:cs="Arial"/>
        </w:rPr>
        <w:t>n</w:t>
      </w:r>
      <w:r w:rsidR="00C40855">
        <w:rPr>
          <w:rFonts w:ascii="Arial" w:hAnsi="Arial" w:cs="Arial"/>
        </w:rPr>
        <w:t xml:space="preserve"> my visits it </w:t>
      </w:r>
      <w:r>
        <w:rPr>
          <w:rFonts w:ascii="Arial" w:hAnsi="Arial" w:cs="Arial"/>
        </w:rPr>
        <w:t xml:space="preserve">was </w:t>
      </w:r>
      <w:r w:rsidR="00C40855">
        <w:rPr>
          <w:rFonts w:ascii="Arial" w:hAnsi="Arial" w:cs="Arial"/>
        </w:rPr>
        <w:t>nice to see how their</w:t>
      </w:r>
      <w:r>
        <w:rPr>
          <w:rFonts w:ascii="Arial" w:hAnsi="Arial" w:cs="Arial"/>
        </w:rPr>
        <w:t xml:space="preserve"> personalities had come </w:t>
      </w:r>
      <w:r w:rsidR="000302D1">
        <w:rPr>
          <w:rFonts w:ascii="Arial" w:hAnsi="Arial" w:cs="Arial"/>
        </w:rPr>
        <w:t>out which was in</w:t>
      </w:r>
      <w:r w:rsidR="00AE7C9B">
        <w:rPr>
          <w:rFonts w:ascii="Arial" w:hAnsi="Arial" w:cs="Arial"/>
        </w:rPr>
        <w:t xml:space="preserve"> contrast to </w:t>
      </w:r>
      <w:r w:rsidR="000302D1" w:rsidRPr="000302D1">
        <w:rPr>
          <w:rFonts w:ascii="Arial" w:hAnsi="Arial" w:cs="Arial"/>
        </w:rPr>
        <w:t xml:space="preserve">hospital </w:t>
      </w:r>
      <w:r>
        <w:rPr>
          <w:rFonts w:ascii="Arial" w:hAnsi="Arial" w:cs="Arial"/>
        </w:rPr>
        <w:t>environment.</w:t>
      </w:r>
    </w:p>
    <w:p w:rsidR="00CB293D" w:rsidRDefault="00BD05B0" w:rsidP="00CB293D">
      <w:pPr>
        <w:pBdr>
          <w:top w:val="single" w:sz="48" w:space="1" w:color="403152" w:themeColor="accent4" w:themeShade="80"/>
          <w:left w:val="single" w:sz="48" w:space="4" w:color="403152" w:themeColor="accent4" w:themeShade="80"/>
        </w:pBdr>
        <w:rPr>
          <w:rFonts w:ascii="Arial" w:hAnsi="Arial" w:cs="Arial"/>
        </w:rPr>
      </w:pPr>
      <w:r w:rsidRPr="00BD05B0">
        <w:rPr>
          <w:noProof/>
          <w:lang w:eastAsia="en-GB"/>
        </w:rPr>
        <w:t xml:space="preserve"> </w:t>
      </w:r>
      <w:r w:rsidR="00CB293D">
        <w:rPr>
          <w:rFonts w:ascii="Arial" w:hAnsi="Arial" w:cs="Arial"/>
        </w:rPr>
        <w:t xml:space="preserve">Housing providers that had either been commissioned to develop new builds or existing properties scored differently depending on each scheme. Rating highly were CHADD, </w:t>
      </w:r>
      <w:proofErr w:type="spellStart"/>
      <w:r w:rsidR="00CB293D">
        <w:rPr>
          <w:rFonts w:ascii="Arial" w:hAnsi="Arial" w:cs="Arial"/>
        </w:rPr>
        <w:t>Stonham</w:t>
      </w:r>
      <w:proofErr w:type="spellEnd"/>
      <w:r w:rsidR="00CB293D">
        <w:rPr>
          <w:rFonts w:ascii="Arial" w:hAnsi="Arial" w:cs="Arial"/>
        </w:rPr>
        <w:t xml:space="preserve"> and Dudley Council. Bromford and Accord scored lower and comments were made how they were difficult to engage with and how persistent staff and families had to be to get some areas of work done.</w:t>
      </w:r>
    </w:p>
    <w:p w:rsidR="00C40997" w:rsidRDefault="00C40997" w:rsidP="00B303F6">
      <w:pPr>
        <w:pBdr>
          <w:top w:val="single" w:sz="48" w:space="1" w:color="403152" w:themeColor="accent4" w:themeShade="80"/>
          <w:left w:val="single" w:sz="48" w:space="4" w:color="403152" w:themeColor="accent4" w:themeShade="80"/>
        </w:pBdr>
        <w:rPr>
          <w:noProof/>
          <w:lang w:eastAsia="en-GB"/>
        </w:rPr>
      </w:pPr>
    </w:p>
    <w:p w:rsidR="00841CB9" w:rsidRDefault="00841CB9" w:rsidP="00B303F6">
      <w:pPr>
        <w:pBdr>
          <w:top w:val="single" w:sz="48" w:space="1" w:color="403152" w:themeColor="accent4" w:themeShade="80"/>
          <w:left w:val="single" w:sz="48" w:space="4" w:color="403152" w:themeColor="accent4" w:themeShade="80"/>
        </w:pBdr>
        <w:rPr>
          <w:noProof/>
          <w:lang w:eastAsia="en-GB"/>
        </w:rPr>
      </w:pPr>
    </w:p>
    <w:p w:rsidR="007E1CDB" w:rsidRDefault="00BD05B0" w:rsidP="00C40997">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lastRenderedPageBreak/>
        <w:drawing>
          <wp:inline distT="0" distB="0" distL="0" distR="0" wp14:anchorId="793C4C0D" wp14:editId="193E759A">
            <wp:extent cx="4162425" cy="200025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0997" w:rsidRDefault="00C40997" w:rsidP="00C40997">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drawing>
          <wp:inline distT="0" distB="0" distL="0" distR="0" wp14:anchorId="47565F93" wp14:editId="4B3B3A48">
            <wp:extent cx="4152900" cy="20002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7C9B" w:rsidRDefault="00AE7C9B"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At the schemes that were developed on the Ridge Hill site</w:t>
      </w:r>
      <w:r w:rsidR="002949AA">
        <w:rPr>
          <w:rFonts w:ascii="Arial" w:hAnsi="Arial" w:cs="Arial"/>
        </w:rPr>
        <w:t xml:space="preserve"> comments around</w:t>
      </w:r>
      <w:r w:rsidR="000302D1">
        <w:rPr>
          <w:rFonts w:ascii="Arial" w:hAnsi="Arial" w:cs="Arial"/>
        </w:rPr>
        <w:t xml:space="preserve"> poor </w:t>
      </w:r>
      <w:r w:rsidR="00011D11">
        <w:rPr>
          <w:rFonts w:ascii="Arial" w:hAnsi="Arial" w:cs="Arial"/>
        </w:rPr>
        <w:t xml:space="preserve">security lighting </w:t>
      </w:r>
      <w:r>
        <w:rPr>
          <w:rFonts w:ascii="Arial" w:hAnsi="Arial" w:cs="Arial"/>
        </w:rPr>
        <w:t>and that due to lack of development the ground had become clearly neglected as no development on the old bungalows sites had took place a</w:t>
      </w:r>
      <w:r w:rsidR="00F72B4D">
        <w:rPr>
          <w:rFonts w:ascii="Arial" w:hAnsi="Arial" w:cs="Arial"/>
        </w:rPr>
        <w:t>s planned due to the drop in</w:t>
      </w:r>
      <w:r>
        <w:rPr>
          <w:rFonts w:ascii="Arial" w:hAnsi="Arial" w:cs="Arial"/>
        </w:rPr>
        <w:t xml:space="preserve"> </w:t>
      </w:r>
      <w:r w:rsidR="000302D1">
        <w:rPr>
          <w:rFonts w:ascii="Arial" w:hAnsi="Arial" w:cs="Arial"/>
        </w:rPr>
        <w:t xml:space="preserve">new </w:t>
      </w:r>
      <w:r>
        <w:rPr>
          <w:rFonts w:ascii="Arial" w:hAnsi="Arial" w:cs="Arial"/>
        </w:rPr>
        <w:t xml:space="preserve">property </w:t>
      </w:r>
      <w:r w:rsidR="000302D1">
        <w:rPr>
          <w:rFonts w:ascii="Arial" w:hAnsi="Arial" w:cs="Arial"/>
        </w:rPr>
        <w:t>builds</w:t>
      </w:r>
      <w:r w:rsidR="00F72B4D">
        <w:rPr>
          <w:rFonts w:ascii="Arial" w:hAnsi="Arial" w:cs="Arial"/>
        </w:rPr>
        <w:t xml:space="preserve"> during the recession. </w:t>
      </w:r>
    </w:p>
    <w:p w:rsidR="0007215D" w:rsidRDefault="0007215D"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Staff commented that support </w:t>
      </w:r>
      <w:r w:rsidR="000302D1">
        <w:rPr>
          <w:rFonts w:ascii="Arial" w:hAnsi="Arial" w:cs="Arial"/>
        </w:rPr>
        <w:t>to understand</w:t>
      </w:r>
      <w:r>
        <w:rPr>
          <w:rFonts w:ascii="Arial" w:hAnsi="Arial" w:cs="Arial"/>
        </w:rPr>
        <w:t xml:space="preserve"> tenancies could be one area for improvement. These c</w:t>
      </w:r>
      <w:r w:rsidR="000302D1">
        <w:rPr>
          <w:rFonts w:ascii="Arial" w:hAnsi="Arial" w:cs="Arial"/>
        </w:rPr>
        <w:t>ontracts were sometimes complicated</w:t>
      </w:r>
      <w:r>
        <w:rPr>
          <w:rFonts w:ascii="Arial" w:hAnsi="Arial" w:cs="Arial"/>
        </w:rPr>
        <w:t xml:space="preserve"> and </w:t>
      </w:r>
      <w:r w:rsidR="000302D1">
        <w:rPr>
          <w:rFonts w:ascii="Arial" w:hAnsi="Arial" w:cs="Arial"/>
        </w:rPr>
        <w:t xml:space="preserve">hard to relay to people. </w:t>
      </w:r>
      <w:proofErr w:type="gramStart"/>
      <w:r w:rsidR="00E47696">
        <w:rPr>
          <w:rFonts w:ascii="Arial" w:hAnsi="Arial" w:cs="Arial"/>
        </w:rPr>
        <w:t>A suggestion</w:t>
      </w:r>
      <w:r>
        <w:rPr>
          <w:rFonts w:ascii="Arial" w:hAnsi="Arial" w:cs="Arial"/>
        </w:rPr>
        <w:t xml:space="preserve"> that easy accessible information </w:t>
      </w:r>
      <w:r w:rsidR="00E47696">
        <w:rPr>
          <w:rFonts w:ascii="Arial" w:hAnsi="Arial" w:cs="Arial"/>
        </w:rPr>
        <w:t>be more available.</w:t>
      </w:r>
      <w:proofErr w:type="gramEnd"/>
      <w:r w:rsidR="00E47696">
        <w:rPr>
          <w:rFonts w:ascii="Arial" w:hAnsi="Arial" w:cs="Arial"/>
        </w:rPr>
        <w:t xml:space="preserve"> Clearer breakdowns</w:t>
      </w:r>
      <w:r>
        <w:rPr>
          <w:rFonts w:ascii="Arial" w:hAnsi="Arial" w:cs="Arial"/>
        </w:rPr>
        <w:t xml:space="preserve"> in service charges would also help to clarify what landlords were responsible for and which parts the tenant was.</w:t>
      </w:r>
    </w:p>
    <w:p w:rsidR="0007215D" w:rsidRDefault="002A0039"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Staff</w:t>
      </w:r>
      <w:r w:rsidR="0007215D">
        <w:rPr>
          <w:rFonts w:ascii="Arial" w:hAnsi="Arial" w:cs="Arial"/>
        </w:rPr>
        <w:t xml:space="preserve"> confidence around supporting people with their properties and tenancy’s was a re</w:t>
      </w:r>
      <w:r w:rsidR="00E47696">
        <w:rPr>
          <w:rFonts w:ascii="Arial" w:hAnsi="Arial" w:cs="Arial"/>
        </w:rPr>
        <w:t xml:space="preserve">al learning curve for some. Many </w:t>
      </w:r>
      <w:r w:rsidR="008A1273">
        <w:rPr>
          <w:rFonts w:ascii="Arial" w:hAnsi="Arial" w:cs="Arial"/>
        </w:rPr>
        <w:t>had been</w:t>
      </w:r>
      <w:r w:rsidR="0007215D">
        <w:rPr>
          <w:rFonts w:ascii="Arial" w:hAnsi="Arial" w:cs="Arial"/>
        </w:rPr>
        <w:t xml:space="preserve"> used to working in </w:t>
      </w:r>
      <w:r w:rsidR="00A75510">
        <w:rPr>
          <w:rFonts w:ascii="Arial" w:hAnsi="Arial" w:cs="Arial"/>
        </w:rPr>
        <w:t>an</w:t>
      </w:r>
      <w:r w:rsidR="0007215D">
        <w:rPr>
          <w:rFonts w:ascii="Arial" w:hAnsi="Arial" w:cs="Arial"/>
        </w:rPr>
        <w:t xml:space="preserve"> institu</w:t>
      </w:r>
      <w:r w:rsidR="00841CB9">
        <w:rPr>
          <w:rFonts w:ascii="Arial" w:hAnsi="Arial" w:cs="Arial"/>
        </w:rPr>
        <w:t xml:space="preserve">tionalised environment. Perhaps more training and </w:t>
      </w:r>
      <w:r w:rsidR="0007215D">
        <w:rPr>
          <w:rFonts w:ascii="Arial" w:hAnsi="Arial" w:cs="Arial"/>
        </w:rPr>
        <w:t>on-goi</w:t>
      </w:r>
      <w:r w:rsidR="00E47696">
        <w:rPr>
          <w:rFonts w:ascii="Arial" w:hAnsi="Arial" w:cs="Arial"/>
        </w:rPr>
        <w:t>ng support was needed to</w:t>
      </w:r>
      <w:r w:rsidR="0007215D">
        <w:rPr>
          <w:rFonts w:ascii="Arial" w:hAnsi="Arial" w:cs="Arial"/>
        </w:rPr>
        <w:t xml:space="preserve"> staff</w:t>
      </w:r>
      <w:r w:rsidR="00A75510">
        <w:rPr>
          <w:rFonts w:ascii="Arial" w:hAnsi="Arial" w:cs="Arial"/>
        </w:rPr>
        <w:t xml:space="preserve"> to make them more </w:t>
      </w:r>
      <w:r w:rsidR="00BD05B0">
        <w:rPr>
          <w:rFonts w:ascii="Arial" w:hAnsi="Arial" w:cs="Arial"/>
        </w:rPr>
        <w:t>aware</w:t>
      </w:r>
      <w:r w:rsidR="00A75510">
        <w:rPr>
          <w:rFonts w:ascii="Arial" w:hAnsi="Arial" w:cs="Arial"/>
        </w:rPr>
        <w:t xml:space="preserve"> of their role now in </w:t>
      </w:r>
      <w:r w:rsidR="00BD05B0">
        <w:rPr>
          <w:rFonts w:ascii="Arial" w:hAnsi="Arial" w:cs="Arial"/>
        </w:rPr>
        <w:t>relation to</w:t>
      </w:r>
      <w:r w:rsidR="00A75510">
        <w:rPr>
          <w:rFonts w:ascii="Arial" w:hAnsi="Arial" w:cs="Arial"/>
        </w:rPr>
        <w:t xml:space="preserve"> </w:t>
      </w:r>
      <w:r w:rsidR="00BD05B0">
        <w:rPr>
          <w:rFonts w:ascii="Arial" w:hAnsi="Arial" w:cs="Arial"/>
        </w:rPr>
        <w:t>people’s</w:t>
      </w:r>
      <w:r w:rsidR="00A75510">
        <w:rPr>
          <w:rFonts w:ascii="Arial" w:hAnsi="Arial" w:cs="Arial"/>
        </w:rPr>
        <w:t xml:space="preserve"> homes and how they played a part i</w:t>
      </w:r>
      <w:r w:rsidR="00CD16EC">
        <w:rPr>
          <w:rFonts w:ascii="Arial" w:hAnsi="Arial" w:cs="Arial"/>
        </w:rPr>
        <w:t>n help</w:t>
      </w:r>
      <w:r w:rsidR="00290A71">
        <w:rPr>
          <w:rFonts w:ascii="Arial" w:hAnsi="Arial" w:cs="Arial"/>
        </w:rPr>
        <w:t>ing people with the upkeep</w:t>
      </w:r>
      <w:r w:rsidR="00A75510">
        <w:rPr>
          <w:rFonts w:ascii="Arial" w:hAnsi="Arial" w:cs="Arial"/>
        </w:rPr>
        <w:t xml:space="preserve"> and </w:t>
      </w:r>
      <w:r w:rsidR="00E47696">
        <w:rPr>
          <w:rFonts w:ascii="Arial" w:hAnsi="Arial" w:cs="Arial"/>
        </w:rPr>
        <w:t>maintenance of these</w:t>
      </w:r>
      <w:r w:rsidR="00A75510">
        <w:rPr>
          <w:rFonts w:ascii="Arial" w:hAnsi="Arial" w:cs="Arial"/>
        </w:rPr>
        <w:t xml:space="preserve"> </w:t>
      </w:r>
      <w:r w:rsidR="00F72B4D">
        <w:rPr>
          <w:rFonts w:ascii="Arial" w:hAnsi="Arial" w:cs="Arial"/>
        </w:rPr>
        <w:t>their</w:t>
      </w:r>
      <w:r w:rsidR="00A75510">
        <w:rPr>
          <w:rFonts w:ascii="Arial" w:hAnsi="Arial" w:cs="Arial"/>
        </w:rPr>
        <w:t xml:space="preserve"> </w:t>
      </w:r>
      <w:r w:rsidR="00BD05B0">
        <w:rPr>
          <w:rFonts w:ascii="Arial" w:hAnsi="Arial" w:cs="Arial"/>
        </w:rPr>
        <w:t>properties. Living at the hospital meant that it was constantly maintained and decorated by in-house contracts</w:t>
      </w:r>
      <w:r w:rsidR="008A1273">
        <w:rPr>
          <w:rFonts w:ascii="Arial" w:hAnsi="Arial" w:cs="Arial"/>
        </w:rPr>
        <w:t>,</w:t>
      </w:r>
      <w:r w:rsidR="00BD05B0">
        <w:rPr>
          <w:rFonts w:ascii="Arial" w:hAnsi="Arial" w:cs="Arial"/>
        </w:rPr>
        <w:t xml:space="preserve"> </w:t>
      </w:r>
      <w:r w:rsidR="008A1273">
        <w:rPr>
          <w:rFonts w:ascii="Arial" w:hAnsi="Arial" w:cs="Arial"/>
        </w:rPr>
        <w:t>and respons</w:t>
      </w:r>
      <w:r>
        <w:rPr>
          <w:rFonts w:ascii="Arial" w:hAnsi="Arial" w:cs="Arial"/>
        </w:rPr>
        <w:t>ibilities had now shifted over to</w:t>
      </w:r>
      <w:r w:rsidR="00F72B4D">
        <w:rPr>
          <w:rFonts w:ascii="Arial" w:hAnsi="Arial" w:cs="Arial"/>
        </w:rPr>
        <w:t xml:space="preserve"> peoples support staff</w:t>
      </w:r>
      <w:r>
        <w:rPr>
          <w:rFonts w:ascii="Arial" w:hAnsi="Arial" w:cs="Arial"/>
        </w:rPr>
        <w:t xml:space="preserve"> and landlords</w:t>
      </w:r>
      <w:r w:rsidR="00BD05B0">
        <w:rPr>
          <w:rFonts w:ascii="Arial" w:hAnsi="Arial" w:cs="Arial"/>
        </w:rPr>
        <w:t>.</w:t>
      </w:r>
    </w:p>
    <w:p w:rsidR="00D45DA7" w:rsidRDefault="0027203D" w:rsidP="00D45DA7">
      <w:pPr>
        <w:pBdr>
          <w:top w:val="single" w:sz="48" w:space="1" w:color="403152" w:themeColor="accent4" w:themeShade="80"/>
          <w:left w:val="single" w:sz="48" w:space="4" w:color="403152" w:themeColor="accent4" w:themeShade="80"/>
        </w:pBdr>
        <w:rPr>
          <w:rFonts w:ascii="Arial" w:hAnsi="Arial" w:cs="Arial"/>
        </w:rPr>
      </w:pPr>
      <w:proofErr w:type="gramStart"/>
      <w:r>
        <w:rPr>
          <w:rFonts w:ascii="Arial" w:hAnsi="Arial" w:cs="Arial"/>
        </w:rPr>
        <w:t>Positive</w:t>
      </w:r>
      <w:r w:rsidR="00BD05B0">
        <w:rPr>
          <w:rFonts w:ascii="Arial" w:hAnsi="Arial" w:cs="Arial"/>
        </w:rPr>
        <w:t xml:space="preserve"> comments around ho</w:t>
      </w:r>
      <w:r w:rsidR="00AE7C9B">
        <w:rPr>
          <w:rFonts w:ascii="Arial" w:hAnsi="Arial" w:cs="Arial"/>
        </w:rPr>
        <w:t xml:space="preserve">w homely environments were </w:t>
      </w:r>
      <w:r w:rsidR="00841CB9">
        <w:rPr>
          <w:rFonts w:ascii="Arial" w:hAnsi="Arial" w:cs="Arial"/>
        </w:rPr>
        <w:t>now</w:t>
      </w:r>
      <w:r w:rsidR="00D45DA7">
        <w:rPr>
          <w:rFonts w:ascii="Arial" w:hAnsi="Arial" w:cs="Arial"/>
        </w:rPr>
        <w:t>,</w:t>
      </w:r>
      <w:r w:rsidR="00841CB9">
        <w:rPr>
          <w:rFonts w:ascii="Arial" w:hAnsi="Arial" w:cs="Arial"/>
        </w:rPr>
        <w:t xml:space="preserve"> and</w:t>
      </w:r>
      <w:r w:rsidR="008A1273">
        <w:rPr>
          <w:rFonts w:ascii="Arial" w:hAnsi="Arial" w:cs="Arial"/>
        </w:rPr>
        <w:t xml:space="preserve"> how </w:t>
      </w:r>
      <w:r w:rsidR="00AE7C9B">
        <w:rPr>
          <w:rFonts w:ascii="Arial" w:hAnsi="Arial" w:cs="Arial"/>
        </w:rPr>
        <w:t>i</w:t>
      </w:r>
      <w:r w:rsidR="00BD05B0">
        <w:rPr>
          <w:rFonts w:ascii="Arial" w:hAnsi="Arial" w:cs="Arial"/>
        </w:rPr>
        <w:t xml:space="preserve">ndividuals belongings were now ‘theirs </w:t>
      </w:r>
      <w:r w:rsidR="00F72B4D">
        <w:rPr>
          <w:rFonts w:ascii="Arial" w:hAnsi="Arial" w:cs="Arial"/>
        </w:rPr>
        <w:t>‘and</w:t>
      </w:r>
      <w:r w:rsidR="00BD05B0">
        <w:rPr>
          <w:rFonts w:ascii="Arial" w:hAnsi="Arial" w:cs="Arial"/>
        </w:rPr>
        <w:t xml:space="preserve"> could not be </w:t>
      </w:r>
      <w:r w:rsidR="00C40997">
        <w:rPr>
          <w:rFonts w:ascii="Arial" w:hAnsi="Arial" w:cs="Arial"/>
        </w:rPr>
        <w:t>misplaced</w:t>
      </w:r>
      <w:r w:rsidR="00F72B4D">
        <w:rPr>
          <w:rFonts w:ascii="Arial" w:hAnsi="Arial" w:cs="Arial"/>
        </w:rPr>
        <w:t>, broken</w:t>
      </w:r>
      <w:r w:rsidR="00C40997">
        <w:rPr>
          <w:rFonts w:ascii="Arial" w:hAnsi="Arial" w:cs="Arial"/>
        </w:rPr>
        <w:t xml:space="preserve"> or taken</w:t>
      </w:r>
      <w:r w:rsidR="00BD05B0">
        <w:rPr>
          <w:rFonts w:ascii="Arial" w:hAnsi="Arial" w:cs="Arial"/>
        </w:rPr>
        <w:t xml:space="preserve"> by others</w:t>
      </w:r>
      <w:r w:rsidR="000302D1">
        <w:rPr>
          <w:rFonts w:ascii="Arial" w:hAnsi="Arial" w:cs="Arial"/>
        </w:rPr>
        <w:t>.</w:t>
      </w:r>
      <w:proofErr w:type="gramEnd"/>
      <w:r w:rsidR="00BD05B0">
        <w:rPr>
          <w:rFonts w:ascii="Arial" w:hAnsi="Arial" w:cs="Arial"/>
        </w:rPr>
        <w:t xml:space="preserve"> </w:t>
      </w:r>
    </w:p>
    <w:p w:rsidR="00D45DA7" w:rsidRDefault="002A0039" w:rsidP="00D45DA7">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Results have shown that housing</w:t>
      </w:r>
      <w:r w:rsidR="00D45DA7">
        <w:rPr>
          <w:rFonts w:ascii="Arial" w:hAnsi="Arial" w:cs="Arial"/>
        </w:rPr>
        <w:t xml:space="preserve"> accommodation for people is more focused around the individuals that live there. Many of</w:t>
      </w:r>
      <w:r>
        <w:rPr>
          <w:rFonts w:ascii="Arial" w:hAnsi="Arial" w:cs="Arial"/>
        </w:rPr>
        <w:t xml:space="preserve"> the new build accommodation have offered </w:t>
      </w:r>
      <w:r w:rsidR="00D45DA7">
        <w:rPr>
          <w:rFonts w:ascii="Arial" w:hAnsi="Arial" w:cs="Arial"/>
        </w:rPr>
        <w:t>home</w:t>
      </w:r>
      <w:r>
        <w:rPr>
          <w:rFonts w:ascii="Arial" w:hAnsi="Arial" w:cs="Arial"/>
        </w:rPr>
        <w:t>s</w:t>
      </w:r>
      <w:r w:rsidR="00D45DA7">
        <w:rPr>
          <w:rFonts w:ascii="Arial" w:hAnsi="Arial" w:cs="Arial"/>
        </w:rPr>
        <w:t xml:space="preserve"> for life </w:t>
      </w:r>
      <w:r w:rsidR="00D45DA7">
        <w:rPr>
          <w:rFonts w:ascii="Arial" w:hAnsi="Arial" w:cs="Arial"/>
        </w:rPr>
        <w:lastRenderedPageBreak/>
        <w:t xml:space="preserve">as they were built around the design that people’s needs may differ as they age and their home should be able to change with them. </w:t>
      </w:r>
    </w:p>
    <w:p w:rsidR="00D45DA7" w:rsidRDefault="00D45DA7" w:rsidP="00D45DA7">
      <w:pPr>
        <w:pBdr>
          <w:top w:val="single" w:sz="48" w:space="1" w:color="403152" w:themeColor="accent4" w:themeShade="80"/>
          <w:left w:val="single" w:sz="48" w:space="4" w:color="403152" w:themeColor="accent4" w:themeShade="80"/>
        </w:pBdr>
        <w:rPr>
          <w:rFonts w:ascii="Arial" w:hAnsi="Arial" w:cs="Arial"/>
          <w:b/>
        </w:rPr>
      </w:pPr>
    </w:p>
    <w:p w:rsidR="00C40997" w:rsidRDefault="00C40997" w:rsidP="004762C3">
      <w:pPr>
        <w:pBdr>
          <w:top w:val="single" w:sz="48" w:space="1" w:color="403152" w:themeColor="accent4" w:themeShade="80"/>
          <w:left w:val="single" w:sz="48" w:space="4" w:color="403152" w:themeColor="accent4" w:themeShade="80"/>
        </w:pBdr>
        <w:rPr>
          <w:rFonts w:ascii="Arial" w:hAnsi="Arial" w:cs="Arial"/>
          <w:b/>
        </w:rPr>
      </w:pPr>
      <w:r w:rsidRPr="00C40997">
        <w:rPr>
          <w:rFonts w:ascii="Arial" w:hAnsi="Arial" w:cs="Arial"/>
          <w:b/>
        </w:rPr>
        <w:t xml:space="preserve">Safety </w:t>
      </w:r>
    </w:p>
    <w:p w:rsidR="00C40997" w:rsidRDefault="00C40997" w:rsidP="004762C3">
      <w:pPr>
        <w:pBdr>
          <w:top w:val="single" w:sz="48" w:space="1" w:color="403152" w:themeColor="accent4" w:themeShade="80"/>
          <w:left w:val="single" w:sz="48" w:space="4" w:color="403152" w:themeColor="accent4" w:themeShade="80"/>
        </w:pBdr>
        <w:rPr>
          <w:rFonts w:ascii="Arial" w:hAnsi="Arial" w:cs="Arial"/>
          <w:b/>
        </w:rPr>
      </w:pPr>
      <w:r>
        <w:rPr>
          <w:rFonts w:ascii="Arial" w:hAnsi="Arial" w:cs="Arial"/>
          <w:b/>
        </w:rPr>
        <w:t>We asked people about their safety now, compared to their life living at Ridge Hill Hospital</w:t>
      </w:r>
    </w:p>
    <w:p w:rsidR="00FE551F" w:rsidRDefault="009B6D76"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Developments in safeguarding proced</w:t>
      </w:r>
      <w:r w:rsidR="000302D1">
        <w:rPr>
          <w:rFonts w:ascii="Arial" w:hAnsi="Arial" w:cs="Arial"/>
        </w:rPr>
        <w:t>ures have</w:t>
      </w:r>
      <w:r>
        <w:rPr>
          <w:rFonts w:ascii="Arial" w:hAnsi="Arial" w:cs="Arial"/>
        </w:rPr>
        <w:t xml:space="preserve"> dramatically changed. Because Ridge Hill had nursing staff support to people</w:t>
      </w:r>
      <w:r w:rsidR="008A1273">
        <w:rPr>
          <w:rFonts w:ascii="Arial" w:hAnsi="Arial" w:cs="Arial"/>
        </w:rPr>
        <w:t>,</w:t>
      </w:r>
      <w:r>
        <w:rPr>
          <w:rFonts w:ascii="Arial" w:hAnsi="Arial" w:cs="Arial"/>
        </w:rPr>
        <w:t xml:space="preserve"> many of the instances where nurse care was needed it was read</w:t>
      </w:r>
      <w:r w:rsidR="000302D1">
        <w:rPr>
          <w:rFonts w:ascii="Arial" w:hAnsi="Arial" w:cs="Arial"/>
        </w:rPr>
        <w:t>ily available</w:t>
      </w:r>
      <w:r w:rsidR="008A1273">
        <w:rPr>
          <w:rFonts w:ascii="Arial" w:hAnsi="Arial" w:cs="Arial"/>
        </w:rPr>
        <w:t>,</w:t>
      </w:r>
      <w:r w:rsidR="000302D1">
        <w:rPr>
          <w:rFonts w:ascii="Arial" w:hAnsi="Arial" w:cs="Arial"/>
        </w:rPr>
        <w:t xml:space="preserve"> so </w:t>
      </w:r>
      <w:r w:rsidR="00F361D0">
        <w:rPr>
          <w:rFonts w:ascii="Arial" w:hAnsi="Arial" w:cs="Arial"/>
        </w:rPr>
        <w:t>some medical</w:t>
      </w:r>
      <w:r>
        <w:rPr>
          <w:rFonts w:ascii="Arial" w:hAnsi="Arial" w:cs="Arial"/>
        </w:rPr>
        <w:t xml:space="preserve"> intervention</w:t>
      </w:r>
      <w:r w:rsidR="000302D1">
        <w:rPr>
          <w:rFonts w:ascii="Arial" w:hAnsi="Arial" w:cs="Arial"/>
        </w:rPr>
        <w:t>s</w:t>
      </w:r>
      <w:r>
        <w:rPr>
          <w:rFonts w:ascii="Arial" w:hAnsi="Arial" w:cs="Arial"/>
        </w:rPr>
        <w:t xml:space="preserve"> could be managed there. Community life now for people is provided by support staff</w:t>
      </w:r>
      <w:r w:rsidR="00A1651F">
        <w:rPr>
          <w:rFonts w:ascii="Arial" w:hAnsi="Arial" w:cs="Arial"/>
        </w:rPr>
        <w:t>,</w:t>
      </w:r>
      <w:r>
        <w:rPr>
          <w:rFonts w:ascii="Arial" w:hAnsi="Arial" w:cs="Arial"/>
        </w:rPr>
        <w:t xml:space="preserve"> </w:t>
      </w:r>
      <w:r w:rsidR="000302D1">
        <w:rPr>
          <w:rFonts w:ascii="Arial" w:hAnsi="Arial" w:cs="Arial"/>
        </w:rPr>
        <w:t>which</w:t>
      </w:r>
      <w:r>
        <w:rPr>
          <w:rFonts w:ascii="Arial" w:hAnsi="Arial" w:cs="Arial"/>
        </w:rPr>
        <w:t xml:space="preserve"> unlike nursing </w:t>
      </w:r>
      <w:r w:rsidR="00A1651F">
        <w:rPr>
          <w:rFonts w:ascii="Arial" w:hAnsi="Arial" w:cs="Arial"/>
        </w:rPr>
        <w:t>staff cannot</w:t>
      </w:r>
      <w:r>
        <w:rPr>
          <w:rFonts w:ascii="Arial" w:hAnsi="Arial" w:cs="Arial"/>
        </w:rPr>
        <w:t xml:space="preserve"> react or treat a person in the same mann</w:t>
      </w:r>
      <w:r w:rsidR="008A1273">
        <w:rPr>
          <w:rFonts w:ascii="Arial" w:hAnsi="Arial" w:cs="Arial"/>
        </w:rPr>
        <w:t>er. Therefore now there higher</w:t>
      </w:r>
      <w:r>
        <w:rPr>
          <w:rFonts w:ascii="Arial" w:hAnsi="Arial" w:cs="Arial"/>
        </w:rPr>
        <w:t xml:space="preserve"> recording methods to support people’s safety</w:t>
      </w:r>
      <w:r w:rsidR="00FE551F">
        <w:rPr>
          <w:rFonts w:ascii="Arial" w:hAnsi="Arial" w:cs="Arial"/>
        </w:rPr>
        <w:t xml:space="preserve"> making hospital admission more common,</w:t>
      </w:r>
      <w:r w:rsidR="008A1273">
        <w:rPr>
          <w:rFonts w:ascii="Arial" w:hAnsi="Arial" w:cs="Arial"/>
        </w:rPr>
        <w:t xml:space="preserve"> more</w:t>
      </w:r>
      <w:r w:rsidR="000302D1">
        <w:rPr>
          <w:rFonts w:ascii="Arial" w:hAnsi="Arial" w:cs="Arial"/>
        </w:rPr>
        <w:t xml:space="preserve"> repo</w:t>
      </w:r>
      <w:r w:rsidR="008A1273">
        <w:rPr>
          <w:rFonts w:ascii="Arial" w:hAnsi="Arial" w:cs="Arial"/>
        </w:rPr>
        <w:t>rts through to</w:t>
      </w:r>
      <w:r w:rsidR="00F361D0">
        <w:rPr>
          <w:rFonts w:ascii="Arial" w:hAnsi="Arial" w:cs="Arial"/>
        </w:rPr>
        <w:t xml:space="preserve"> safeguarding </w:t>
      </w:r>
      <w:r w:rsidR="000302D1">
        <w:rPr>
          <w:rFonts w:ascii="Arial" w:hAnsi="Arial" w:cs="Arial"/>
        </w:rPr>
        <w:t xml:space="preserve">and </w:t>
      </w:r>
      <w:r w:rsidR="008A1273">
        <w:rPr>
          <w:rFonts w:ascii="Arial" w:hAnsi="Arial" w:cs="Arial"/>
        </w:rPr>
        <w:t xml:space="preserve">more frequent </w:t>
      </w:r>
      <w:r w:rsidR="000302D1">
        <w:rPr>
          <w:rFonts w:ascii="Arial" w:hAnsi="Arial" w:cs="Arial"/>
        </w:rPr>
        <w:t xml:space="preserve">visits to </w:t>
      </w:r>
      <w:r w:rsidR="0027203D">
        <w:rPr>
          <w:rFonts w:ascii="Arial" w:hAnsi="Arial" w:cs="Arial"/>
        </w:rPr>
        <w:t>GP’s.</w:t>
      </w:r>
    </w:p>
    <w:p w:rsidR="00CD16EC" w:rsidRDefault="00CD16EC"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Referrals to safeguarding were higher</w:t>
      </w:r>
      <w:r w:rsidR="00E7002E">
        <w:rPr>
          <w:rFonts w:ascii="Arial" w:hAnsi="Arial" w:cs="Arial"/>
        </w:rPr>
        <w:t xml:space="preserve"> and</w:t>
      </w:r>
      <w:r w:rsidR="00290A71">
        <w:rPr>
          <w:rFonts w:ascii="Arial" w:hAnsi="Arial" w:cs="Arial"/>
        </w:rPr>
        <w:t xml:space="preserve"> for some</w:t>
      </w:r>
      <w:r w:rsidR="00E7002E">
        <w:rPr>
          <w:rFonts w:ascii="Arial" w:hAnsi="Arial" w:cs="Arial"/>
        </w:rPr>
        <w:t xml:space="preserve"> of this was due to the increase in monitoring now and the developments in how safeguarding </w:t>
      </w:r>
      <w:r w:rsidR="00290A71">
        <w:rPr>
          <w:rFonts w:ascii="Arial" w:hAnsi="Arial" w:cs="Arial"/>
        </w:rPr>
        <w:t>is reported</w:t>
      </w:r>
      <w:r w:rsidR="00E7002E">
        <w:rPr>
          <w:rFonts w:ascii="Arial" w:hAnsi="Arial" w:cs="Arial"/>
        </w:rPr>
        <w:t xml:space="preserve">. The graphs </w:t>
      </w:r>
      <w:r w:rsidR="002A0039">
        <w:rPr>
          <w:rFonts w:ascii="Arial" w:hAnsi="Arial" w:cs="Arial"/>
        </w:rPr>
        <w:t xml:space="preserve">(page 10) </w:t>
      </w:r>
      <w:r w:rsidR="00290A71">
        <w:rPr>
          <w:rFonts w:ascii="Arial" w:hAnsi="Arial" w:cs="Arial"/>
        </w:rPr>
        <w:t>show people</w:t>
      </w:r>
      <w:r>
        <w:rPr>
          <w:rFonts w:ascii="Arial" w:hAnsi="Arial" w:cs="Arial"/>
        </w:rPr>
        <w:t xml:space="preserve"> had said overall how </w:t>
      </w:r>
      <w:r w:rsidR="00E7002E">
        <w:rPr>
          <w:rFonts w:ascii="Arial" w:hAnsi="Arial" w:cs="Arial"/>
        </w:rPr>
        <w:t>much</w:t>
      </w:r>
      <w:r>
        <w:rPr>
          <w:rFonts w:ascii="Arial" w:hAnsi="Arial" w:cs="Arial"/>
        </w:rPr>
        <w:t xml:space="preserve"> safer </w:t>
      </w:r>
      <w:r w:rsidR="00E7002E">
        <w:rPr>
          <w:rFonts w:ascii="Arial" w:hAnsi="Arial" w:cs="Arial"/>
        </w:rPr>
        <w:t xml:space="preserve">people felt now and this was </w:t>
      </w:r>
      <w:r w:rsidR="00290A71">
        <w:rPr>
          <w:rFonts w:ascii="Arial" w:hAnsi="Arial" w:cs="Arial"/>
        </w:rPr>
        <w:t xml:space="preserve">due to the changes in safeguarding procedures alongside people living in their own homes with their own care. </w:t>
      </w:r>
    </w:p>
    <w:p w:rsidR="00A1651F" w:rsidRDefault="00FE551F"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When speaking to health professionals who worked at Ridge Hill they commented that the recor</w:t>
      </w:r>
      <w:r w:rsidR="008A1273">
        <w:rPr>
          <w:rFonts w:ascii="Arial" w:hAnsi="Arial" w:cs="Arial"/>
        </w:rPr>
        <w:t xml:space="preserve">ding of seizures is higher now due to </w:t>
      </w:r>
      <w:r>
        <w:rPr>
          <w:rFonts w:ascii="Arial" w:hAnsi="Arial" w:cs="Arial"/>
        </w:rPr>
        <w:t xml:space="preserve">people are getting more one to </w:t>
      </w:r>
      <w:r w:rsidR="008A1273">
        <w:rPr>
          <w:rFonts w:ascii="Arial" w:hAnsi="Arial" w:cs="Arial"/>
        </w:rPr>
        <w:t>one support now. A</w:t>
      </w:r>
      <w:r>
        <w:rPr>
          <w:rFonts w:ascii="Arial" w:hAnsi="Arial" w:cs="Arial"/>
        </w:rPr>
        <w:t xml:space="preserve">lthough when </w:t>
      </w:r>
      <w:r w:rsidR="00F361D0">
        <w:rPr>
          <w:rFonts w:ascii="Arial" w:hAnsi="Arial" w:cs="Arial"/>
        </w:rPr>
        <w:t>recorded it</w:t>
      </w:r>
      <w:r>
        <w:rPr>
          <w:rFonts w:ascii="Arial" w:hAnsi="Arial" w:cs="Arial"/>
        </w:rPr>
        <w:t xml:space="preserve"> looked like their </w:t>
      </w:r>
      <w:r w:rsidR="008A1273">
        <w:rPr>
          <w:rFonts w:ascii="Arial" w:hAnsi="Arial" w:cs="Arial"/>
        </w:rPr>
        <w:t>epilepsy had worsened in fact this was due to</w:t>
      </w:r>
      <w:r>
        <w:rPr>
          <w:rFonts w:ascii="Arial" w:hAnsi="Arial" w:cs="Arial"/>
        </w:rPr>
        <w:t xml:space="preserve"> more observation being able to take pla</w:t>
      </w:r>
      <w:r w:rsidR="00A1651F">
        <w:rPr>
          <w:rFonts w:ascii="Arial" w:hAnsi="Arial" w:cs="Arial"/>
        </w:rPr>
        <w:t>ce due to highe</w:t>
      </w:r>
      <w:r w:rsidR="00F361D0">
        <w:rPr>
          <w:rFonts w:ascii="Arial" w:hAnsi="Arial" w:cs="Arial"/>
        </w:rPr>
        <w:t>r staffing ratios</w:t>
      </w:r>
      <w:r w:rsidR="00A1651F">
        <w:rPr>
          <w:rFonts w:ascii="Arial" w:hAnsi="Arial" w:cs="Arial"/>
        </w:rPr>
        <w:t>.</w:t>
      </w:r>
    </w:p>
    <w:p w:rsidR="00CD16EC" w:rsidRDefault="00A1651F"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Overall we received lots of feedback on how much safer peoples environments were now. I</w:t>
      </w:r>
      <w:r w:rsidR="00F361D0">
        <w:rPr>
          <w:rFonts w:ascii="Arial" w:hAnsi="Arial" w:cs="Arial"/>
        </w:rPr>
        <w:t>t</w:t>
      </w:r>
      <w:r>
        <w:rPr>
          <w:rFonts w:ascii="Arial" w:hAnsi="Arial" w:cs="Arial"/>
        </w:rPr>
        <w:t xml:space="preserve"> was hard to live within large groups at the hospital without the threat</w:t>
      </w:r>
      <w:r w:rsidR="00F361D0">
        <w:rPr>
          <w:rFonts w:ascii="Arial" w:hAnsi="Arial" w:cs="Arial"/>
        </w:rPr>
        <w:t>s posed</w:t>
      </w:r>
      <w:r>
        <w:rPr>
          <w:rFonts w:ascii="Arial" w:hAnsi="Arial" w:cs="Arial"/>
        </w:rPr>
        <w:t xml:space="preserve"> b</w:t>
      </w:r>
      <w:r w:rsidR="00F361D0">
        <w:rPr>
          <w:rFonts w:ascii="Arial" w:hAnsi="Arial" w:cs="Arial"/>
        </w:rPr>
        <w:t>y others.</w:t>
      </w:r>
    </w:p>
    <w:p w:rsidR="00A1651F" w:rsidRDefault="00A1651F"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 </w:t>
      </w:r>
      <w:r w:rsidR="00F361D0">
        <w:rPr>
          <w:rFonts w:ascii="Arial" w:hAnsi="Arial" w:cs="Arial"/>
        </w:rPr>
        <w:t>There</w:t>
      </w:r>
      <w:r>
        <w:rPr>
          <w:rFonts w:ascii="Arial" w:hAnsi="Arial" w:cs="Arial"/>
        </w:rPr>
        <w:t xml:space="preserve"> was a lot of turn taking which had to take p</w:t>
      </w:r>
      <w:r w:rsidR="00854712">
        <w:rPr>
          <w:rFonts w:ascii="Arial" w:hAnsi="Arial" w:cs="Arial"/>
        </w:rPr>
        <w:t xml:space="preserve">lace to support people within the </w:t>
      </w:r>
      <w:r>
        <w:rPr>
          <w:rFonts w:ascii="Arial" w:hAnsi="Arial" w:cs="Arial"/>
        </w:rPr>
        <w:t xml:space="preserve">hospital and these restrictions made life very difficult for some. </w:t>
      </w:r>
    </w:p>
    <w:p w:rsidR="009B6D76" w:rsidRDefault="00A1651F"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Most of those instances don’t happen now as people are either supported individually as the</w:t>
      </w:r>
      <w:r w:rsidR="00F361D0">
        <w:rPr>
          <w:rFonts w:ascii="Arial" w:hAnsi="Arial" w:cs="Arial"/>
        </w:rPr>
        <w:t>y</w:t>
      </w:r>
      <w:r>
        <w:rPr>
          <w:rFonts w:ascii="Arial" w:hAnsi="Arial" w:cs="Arial"/>
        </w:rPr>
        <w:t xml:space="preserve"> wish or live within groups who have </w:t>
      </w:r>
      <w:r w:rsidR="00E64323">
        <w:rPr>
          <w:rFonts w:ascii="Arial" w:hAnsi="Arial" w:cs="Arial"/>
        </w:rPr>
        <w:t>be placed</w:t>
      </w:r>
      <w:r>
        <w:rPr>
          <w:rFonts w:ascii="Arial" w:hAnsi="Arial" w:cs="Arial"/>
        </w:rPr>
        <w:t xml:space="preserve"> together so that their lifestyles can complement each other</w:t>
      </w:r>
      <w:r w:rsidR="00F361D0">
        <w:rPr>
          <w:rFonts w:ascii="Arial" w:hAnsi="Arial" w:cs="Arial"/>
        </w:rPr>
        <w:t>.</w:t>
      </w:r>
    </w:p>
    <w:p w:rsidR="00A1651F" w:rsidRDefault="00A1651F"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There are different risks to some now due to the deterioration in </w:t>
      </w:r>
      <w:r w:rsidR="00F361D0">
        <w:rPr>
          <w:rFonts w:ascii="Arial" w:hAnsi="Arial" w:cs="Arial"/>
        </w:rPr>
        <w:t>people’s</w:t>
      </w:r>
      <w:r>
        <w:rPr>
          <w:rFonts w:ascii="Arial" w:hAnsi="Arial" w:cs="Arial"/>
        </w:rPr>
        <w:t xml:space="preserve"> mobility and for some to keep them sa</w:t>
      </w:r>
      <w:r w:rsidR="00854712">
        <w:rPr>
          <w:rFonts w:ascii="Arial" w:hAnsi="Arial" w:cs="Arial"/>
        </w:rPr>
        <w:t xml:space="preserve">fe there may be an increase or </w:t>
      </w:r>
      <w:r>
        <w:rPr>
          <w:rFonts w:ascii="Arial" w:hAnsi="Arial" w:cs="Arial"/>
        </w:rPr>
        <w:t>development</w:t>
      </w:r>
      <w:r w:rsidR="00F361D0">
        <w:rPr>
          <w:rFonts w:ascii="Arial" w:hAnsi="Arial" w:cs="Arial"/>
        </w:rPr>
        <w:t>s</w:t>
      </w:r>
      <w:r>
        <w:rPr>
          <w:rFonts w:ascii="Arial" w:hAnsi="Arial" w:cs="Arial"/>
        </w:rPr>
        <w:t xml:space="preserve"> in their </w:t>
      </w:r>
      <w:r w:rsidR="00E64323">
        <w:rPr>
          <w:rFonts w:ascii="Arial" w:hAnsi="Arial" w:cs="Arial"/>
        </w:rPr>
        <w:t>future support.</w:t>
      </w:r>
    </w:p>
    <w:p w:rsidR="00E64323" w:rsidRDefault="00E64323"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Safer environments and people’s homes being designed around them had created safer places to live.</w:t>
      </w:r>
      <w:r w:rsidR="00FB5D0D">
        <w:rPr>
          <w:rFonts w:ascii="Arial" w:hAnsi="Arial" w:cs="Arial"/>
        </w:rPr>
        <w:t xml:space="preserve"> At some schemes built on the old hospital site there was concern that some street lighting had been turned off making the homes feel isolated and there was little known around why this had been done.</w:t>
      </w:r>
    </w:p>
    <w:p w:rsidR="00E64323" w:rsidRDefault="00E64323" w:rsidP="004762C3">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Staff training was also recognised as playing an important role where safety was concerned. </w:t>
      </w:r>
    </w:p>
    <w:p w:rsidR="00CB293D" w:rsidRDefault="00CB293D" w:rsidP="004762C3">
      <w:pPr>
        <w:pBdr>
          <w:top w:val="single" w:sz="48" w:space="1" w:color="403152" w:themeColor="accent4" w:themeShade="80"/>
          <w:left w:val="single" w:sz="48" w:space="4" w:color="403152" w:themeColor="accent4" w:themeShade="80"/>
        </w:pBdr>
        <w:rPr>
          <w:rFonts w:ascii="Arial" w:hAnsi="Arial" w:cs="Arial"/>
        </w:rPr>
      </w:pPr>
    </w:p>
    <w:p w:rsidR="00E64323" w:rsidRDefault="00E64323" w:rsidP="00E64323">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lastRenderedPageBreak/>
        <w:drawing>
          <wp:inline distT="0" distB="0" distL="0" distR="0" wp14:anchorId="326A8A24" wp14:editId="5892D44B">
            <wp:extent cx="4257675" cy="2486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4323" w:rsidRDefault="00E64323" w:rsidP="00E64323">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drawing>
          <wp:inline distT="0" distB="0" distL="0" distR="0" wp14:anchorId="36E60962" wp14:editId="3202C0CE">
            <wp:extent cx="4210050" cy="2286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4323" w:rsidRDefault="006D544A" w:rsidP="00D45DA7">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w:t>
      </w:r>
      <w:r w:rsidR="00D45DA7">
        <w:rPr>
          <w:rFonts w:ascii="Arial" w:hAnsi="Arial" w:cs="Arial"/>
        </w:rPr>
        <w:t>he results</w:t>
      </w:r>
      <w:r>
        <w:rPr>
          <w:rFonts w:ascii="Arial" w:hAnsi="Arial" w:cs="Arial"/>
        </w:rPr>
        <w:t xml:space="preserve"> collated showed</w:t>
      </w:r>
      <w:r w:rsidR="00D45DA7">
        <w:rPr>
          <w:rFonts w:ascii="Arial" w:hAnsi="Arial" w:cs="Arial"/>
        </w:rPr>
        <w:t xml:space="preserve"> </w:t>
      </w:r>
      <w:r>
        <w:rPr>
          <w:rFonts w:ascii="Arial" w:hAnsi="Arial" w:cs="Arial"/>
        </w:rPr>
        <w:t xml:space="preserve">the impact </w:t>
      </w:r>
      <w:r w:rsidR="00D45DA7">
        <w:rPr>
          <w:rFonts w:ascii="Arial" w:hAnsi="Arial" w:cs="Arial"/>
        </w:rPr>
        <w:t>how</w:t>
      </w:r>
      <w:r>
        <w:rPr>
          <w:rFonts w:ascii="Arial" w:hAnsi="Arial" w:cs="Arial"/>
        </w:rPr>
        <w:t xml:space="preserve"> over the past six years</w:t>
      </w:r>
      <w:r w:rsidR="00D45DA7">
        <w:rPr>
          <w:rFonts w:ascii="Arial" w:hAnsi="Arial" w:cs="Arial"/>
        </w:rPr>
        <w:t xml:space="preserve"> safeguarding has </w:t>
      </w:r>
      <w:r>
        <w:rPr>
          <w:rFonts w:ascii="Arial" w:hAnsi="Arial" w:cs="Arial"/>
        </w:rPr>
        <w:t xml:space="preserve">further </w:t>
      </w:r>
      <w:r w:rsidR="00D45DA7">
        <w:rPr>
          <w:rFonts w:ascii="Arial" w:hAnsi="Arial" w:cs="Arial"/>
        </w:rPr>
        <w:t>developed</w:t>
      </w:r>
      <w:r>
        <w:rPr>
          <w:rFonts w:ascii="Arial" w:hAnsi="Arial" w:cs="Arial"/>
        </w:rPr>
        <w:t xml:space="preserve"> nationally</w:t>
      </w:r>
      <w:r w:rsidRPr="006D544A">
        <w:rPr>
          <w:rFonts w:ascii="Arial" w:hAnsi="Arial" w:cs="Arial"/>
        </w:rPr>
        <w:t xml:space="preserve"> </w:t>
      </w:r>
      <w:r>
        <w:rPr>
          <w:rFonts w:ascii="Arial" w:hAnsi="Arial" w:cs="Arial"/>
        </w:rPr>
        <w:t>and how differently this is supported. Overall</w:t>
      </w:r>
      <w:r w:rsidR="004C471D">
        <w:rPr>
          <w:rFonts w:ascii="Arial" w:hAnsi="Arial" w:cs="Arial"/>
        </w:rPr>
        <w:t xml:space="preserve"> the </w:t>
      </w:r>
      <w:proofErr w:type="gramStart"/>
      <w:r w:rsidR="004C471D">
        <w:rPr>
          <w:rFonts w:ascii="Arial" w:hAnsi="Arial" w:cs="Arial"/>
        </w:rPr>
        <w:t xml:space="preserve">comments </w:t>
      </w:r>
      <w:r>
        <w:rPr>
          <w:rFonts w:ascii="Arial" w:hAnsi="Arial" w:cs="Arial"/>
        </w:rPr>
        <w:t xml:space="preserve"> that</w:t>
      </w:r>
      <w:proofErr w:type="gramEnd"/>
      <w:r>
        <w:rPr>
          <w:rFonts w:ascii="Arial" w:hAnsi="Arial" w:cs="Arial"/>
        </w:rPr>
        <w:t xml:space="preserve"> the difficulties in sharing your home with people that you would not have chosen to</w:t>
      </w:r>
      <w:r w:rsidR="004C471D">
        <w:rPr>
          <w:rFonts w:ascii="Arial" w:hAnsi="Arial" w:cs="Arial"/>
        </w:rPr>
        <w:t>,</w:t>
      </w:r>
      <w:r>
        <w:rPr>
          <w:rFonts w:ascii="Arial" w:hAnsi="Arial" w:cs="Arial"/>
        </w:rPr>
        <w:t xml:space="preserve"> and</w:t>
      </w:r>
      <w:r w:rsidR="004C471D">
        <w:rPr>
          <w:rFonts w:ascii="Arial" w:hAnsi="Arial" w:cs="Arial"/>
        </w:rPr>
        <w:t xml:space="preserve"> due to behaviours that challenge</w:t>
      </w:r>
      <w:r>
        <w:rPr>
          <w:rFonts w:ascii="Arial" w:hAnsi="Arial" w:cs="Arial"/>
        </w:rPr>
        <w:t xml:space="preserve"> therefore may have threated your safety</w:t>
      </w:r>
      <w:r w:rsidR="004C471D">
        <w:rPr>
          <w:rFonts w:ascii="Arial" w:hAnsi="Arial" w:cs="Arial"/>
        </w:rPr>
        <w:t xml:space="preserve"> at times, were no longer there.</w:t>
      </w:r>
    </w:p>
    <w:p w:rsidR="00E64323" w:rsidRDefault="00E64323" w:rsidP="00E64323">
      <w:pPr>
        <w:pBdr>
          <w:top w:val="single" w:sz="48" w:space="1" w:color="403152" w:themeColor="accent4" w:themeShade="80"/>
          <w:left w:val="single" w:sz="48" w:space="4" w:color="403152" w:themeColor="accent4" w:themeShade="80"/>
        </w:pBdr>
        <w:rPr>
          <w:rFonts w:ascii="Arial" w:hAnsi="Arial" w:cs="Arial"/>
          <w:b/>
        </w:rPr>
      </w:pPr>
    </w:p>
    <w:p w:rsidR="00E64323" w:rsidRPr="00E64323" w:rsidRDefault="00E64323" w:rsidP="00E64323">
      <w:pPr>
        <w:pBdr>
          <w:top w:val="single" w:sz="48" w:space="1" w:color="403152" w:themeColor="accent4" w:themeShade="80"/>
          <w:left w:val="single" w:sz="48" w:space="4" w:color="403152" w:themeColor="accent4" w:themeShade="80"/>
        </w:pBdr>
        <w:rPr>
          <w:rFonts w:ascii="Arial" w:hAnsi="Arial" w:cs="Arial"/>
          <w:b/>
        </w:rPr>
      </w:pPr>
      <w:r w:rsidRPr="00E64323">
        <w:rPr>
          <w:rFonts w:ascii="Arial" w:hAnsi="Arial" w:cs="Arial"/>
          <w:b/>
        </w:rPr>
        <w:t>Health</w:t>
      </w:r>
    </w:p>
    <w:p w:rsidR="00E64323" w:rsidRDefault="00E64323" w:rsidP="00E64323">
      <w:pPr>
        <w:pBdr>
          <w:top w:val="single" w:sz="48" w:space="1" w:color="403152" w:themeColor="accent4" w:themeShade="80"/>
          <w:left w:val="single" w:sz="48" w:space="4" w:color="403152" w:themeColor="accent4" w:themeShade="80"/>
        </w:pBdr>
        <w:rPr>
          <w:rFonts w:ascii="Arial" w:hAnsi="Arial" w:cs="Arial"/>
          <w:b/>
        </w:rPr>
      </w:pPr>
      <w:r w:rsidRPr="00E64323">
        <w:rPr>
          <w:rFonts w:ascii="Arial" w:hAnsi="Arial" w:cs="Arial"/>
          <w:b/>
        </w:rPr>
        <w:t>We asked people what their health support is like now compared to life living at Ridge Hill</w:t>
      </w:r>
    </w:p>
    <w:p w:rsidR="00E64323" w:rsidRDefault="00E64323" w:rsidP="00E64323">
      <w:pPr>
        <w:pBdr>
          <w:top w:val="single" w:sz="48" w:space="1" w:color="403152" w:themeColor="accent4" w:themeShade="80"/>
          <w:left w:val="single" w:sz="48" w:space="4" w:color="403152" w:themeColor="accent4" w:themeShade="80"/>
        </w:pBdr>
        <w:rPr>
          <w:rFonts w:ascii="Arial" w:hAnsi="Arial" w:cs="Arial"/>
        </w:rPr>
      </w:pPr>
      <w:r w:rsidRPr="00466A96">
        <w:rPr>
          <w:rFonts w:ascii="Arial" w:hAnsi="Arial" w:cs="Arial"/>
        </w:rPr>
        <w:t xml:space="preserve">Ridge Hill hospital was able to treat people for many </w:t>
      </w:r>
      <w:r w:rsidR="00466A96" w:rsidRPr="00466A96">
        <w:rPr>
          <w:rFonts w:ascii="Arial" w:hAnsi="Arial" w:cs="Arial"/>
        </w:rPr>
        <w:t>conditions and illnesses in house supported by the qualified nursing staff</w:t>
      </w:r>
      <w:r w:rsidR="00466A96">
        <w:rPr>
          <w:rFonts w:ascii="Arial" w:hAnsi="Arial" w:cs="Arial"/>
        </w:rPr>
        <w:t xml:space="preserve">. Now with people living in the community </w:t>
      </w:r>
      <w:r w:rsidR="00F361D0">
        <w:rPr>
          <w:rFonts w:ascii="Arial" w:hAnsi="Arial" w:cs="Arial"/>
        </w:rPr>
        <w:t xml:space="preserve">trained </w:t>
      </w:r>
      <w:r w:rsidR="00466A96">
        <w:rPr>
          <w:rFonts w:ascii="Arial" w:hAnsi="Arial" w:cs="Arial"/>
        </w:rPr>
        <w:t>care staff can only support people up to a point then they will rely on health services to support that person.</w:t>
      </w:r>
    </w:p>
    <w:p w:rsidR="00290A71" w:rsidRDefault="00290A71" w:rsidP="00E64323">
      <w:pPr>
        <w:pBdr>
          <w:top w:val="single" w:sz="48" w:space="1" w:color="403152" w:themeColor="accent4" w:themeShade="80"/>
          <w:left w:val="single" w:sz="48" w:space="4" w:color="403152" w:themeColor="accent4" w:themeShade="80"/>
        </w:pBdr>
        <w:rPr>
          <w:rFonts w:ascii="Arial" w:hAnsi="Arial" w:cs="Arial"/>
        </w:rPr>
      </w:pPr>
    </w:p>
    <w:p w:rsidR="00A90280" w:rsidRDefault="00A90280" w:rsidP="00E64323">
      <w:pPr>
        <w:pBdr>
          <w:top w:val="single" w:sz="48" w:space="1" w:color="403152" w:themeColor="accent4" w:themeShade="80"/>
          <w:left w:val="single" w:sz="48" w:space="4" w:color="403152" w:themeColor="accent4" w:themeShade="80"/>
        </w:pBdr>
        <w:rPr>
          <w:rFonts w:ascii="Arial" w:hAnsi="Arial" w:cs="Arial"/>
        </w:rPr>
      </w:pPr>
    </w:p>
    <w:p w:rsidR="00466A96" w:rsidRDefault="00E859C7" w:rsidP="006D7AF6">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lastRenderedPageBreak/>
        <w:drawing>
          <wp:inline distT="0" distB="0" distL="0" distR="0" wp14:anchorId="7B19870F" wp14:editId="6ACB6555">
            <wp:extent cx="4095750" cy="21526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7AF6" w:rsidRDefault="006D7AF6" w:rsidP="006D7AF6">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drawing>
          <wp:inline distT="0" distB="0" distL="0" distR="0" wp14:anchorId="68801E8B" wp14:editId="7CADA47A">
            <wp:extent cx="4076700" cy="21907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775E" w:rsidRDefault="00D9775E" w:rsidP="00D9775E">
      <w:pPr>
        <w:pBdr>
          <w:top w:val="single" w:sz="48" w:space="1" w:color="403152" w:themeColor="accent4" w:themeShade="80"/>
          <w:left w:val="single" w:sz="48" w:space="4" w:color="403152" w:themeColor="accent4" w:themeShade="80"/>
        </w:pBdr>
        <w:rPr>
          <w:rFonts w:ascii="Arial" w:hAnsi="Arial" w:cs="Arial"/>
        </w:rPr>
      </w:pPr>
      <w:r w:rsidRPr="00D9775E">
        <w:rPr>
          <w:rFonts w:ascii="Arial" w:hAnsi="Arial" w:cs="Arial"/>
        </w:rPr>
        <w:t xml:space="preserve">A range of </w:t>
      </w:r>
      <w:r w:rsidR="001012C5">
        <w:rPr>
          <w:rFonts w:ascii="Arial" w:hAnsi="Arial" w:cs="Arial"/>
        </w:rPr>
        <w:t xml:space="preserve">outside </w:t>
      </w:r>
      <w:r w:rsidRPr="00D9775E">
        <w:rPr>
          <w:rFonts w:ascii="Arial" w:hAnsi="Arial" w:cs="Arial"/>
        </w:rPr>
        <w:t>services were used by people including: dietician, PEG feed support, psychology, dysphagia, epilepsy support, chiropody, blood tests, wheelchair services etc.</w:t>
      </w:r>
    </w:p>
    <w:p w:rsidR="00466A96" w:rsidRDefault="00466A96"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Many comments came back how good these links are and that appointments and </w:t>
      </w:r>
      <w:r w:rsidR="00F361D0">
        <w:rPr>
          <w:rFonts w:ascii="Arial" w:hAnsi="Arial" w:cs="Arial"/>
        </w:rPr>
        <w:t xml:space="preserve">the quality of </w:t>
      </w:r>
      <w:r>
        <w:rPr>
          <w:rFonts w:ascii="Arial" w:hAnsi="Arial" w:cs="Arial"/>
        </w:rPr>
        <w:t>support was exce</w:t>
      </w:r>
      <w:r w:rsidR="00264AEF">
        <w:rPr>
          <w:rFonts w:ascii="Arial" w:hAnsi="Arial" w:cs="Arial"/>
        </w:rPr>
        <w:t>llent. GP’s mainly received positive comments</w:t>
      </w:r>
      <w:r>
        <w:rPr>
          <w:rFonts w:ascii="Arial" w:hAnsi="Arial" w:cs="Arial"/>
        </w:rPr>
        <w:t xml:space="preserve"> and w</w:t>
      </w:r>
      <w:r w:rsidR="001B59DF">
        <w:rPr>
          <w:rFonts w:ascii="Arial" w:hAnsi="Arial" w:cs="Arial"/>
        </w:rPr>
        <w:t>ould provide individualised</w:t>
      </w:r>
      <w:r>
        <w:rPr>
          <w:rFonts w:ascii="Arial" w:hAnsi="Arial" w:cs="Arial"/>
        </w:rPr>
        <w:t xml:space="preserve"> support to a person should they need it. Staff felt some locum doctors has been shown to have less awareness</w:t>
      </w:r>
      <w:r w:rsidR="00F361D0">
        <w:rPr>
          <w:rFonts w:ascii="Arial" w:hAnsi="Arial" w:cs="Arial"/>
        </w:rPr>
        <w:t xml:space="preserve"> and showed</w:t>
      </w:r>
      <w:r w:rsidR="000A34A9">
        <w:rPr>
          <w:rFonts w:ascii="Arial" w:hAnsi="Arial" w:cs="Arial"/>
        </w:rPr>
        <w:t xml:space="preserve"> poor attitude</w:t>
      </w:r>
      <w:r w:rsidR="00F361D0">
        <w:rPr>
          <w:rFonts w:ascii="Arial" w:hAnsi="Arial" w:cs="Arial"/>
        </w:rPr>
        <w:t>s</w:t>
      </w:r>
      <w:r>
        <w:rPr>
          <w:rFonts w:ascii="Arial" w:hAnsi="Arial" w:cs="Arial"/>
        </w:rPr>
        <w:t xml:space="preserve"> around a person with a learning disability and recommended they received more training around this.</w:t>
      </w:r>
    </w:p>
    <w:p w:rsidR="00DB0BFC" w:rsidRDefault="00DB0BFC"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In particular the support from the Ridge Hill Centre specialist services rated really highly </w:t>
      </w:r>
      <w:r w:rsidR="00F361D0">
        <w:rPr>
          <w:rFonts w:ascii="Arial" w:hAnsi="Arial" w:cs="Arial"/>
        </w:rPr>
        <w:t>with</w:t>
      </w:r>
      <w:r>
        <w:rPr>
          <w:rFonts w:ascii="Arial" w:hAnsi="Arial" w:cs="Arial"/>
        </w:rPr>
        <w:t xml:space="preserve"> people, many of these professionals </w:t>
      </w:r>
      <w:r w:rsidR="001012C5">
        <w:rPr>
          <w:rFonts w:ascii="Arial" w:hAnsi="Arial" w:cs="Arial"/>
        </w:rPr>
        <w:t xml:space="preserve">had known </w:t>
      </w:r>
      <w:r>
        <w:rPr>
          <w:rFonts w:ascii="Arial" w:hAnsi="Arial" w:cs="Arial"/>
        </w:rPr>
        <w:t>individuals of a long time and their expert advice and training was a great resource to the Blackcountry</w:t>
      </w:r>
      <w:r w:rsidR="00F361D0">
        <w:rPr>
          <w:rFonts w:ascii="Arial" w:hAnsi="Arial" w:cs="Arial"/>
        </w:rPr>
        <w:t>.</w:t>
      </w:r>
    </w:p>
    <w:p w:rsidR="00E859C7" w:rsidRDefault="00E859C7"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Russells Hall hospital received both good and bad feedback. Many comments said how the attitudes and awareness around people with learning disabilities still had a long way to go and we hope that the introduction of the new learning disabilities liaison nurse at Russells Hall will improve this awareness further.</w:t>
      </w:r>
    </w:p>
    <w:p w:rsidR="00CB293D" w:rsidRDefault="000A34A9"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So</w:t>
      </w:r>
      <w:r w:rsidR="001012C5">
        <w:rPr>
          <w:rFonts w:ascii="Arial" w:hAnsi="Arial" w:cs="Arial"/>
        </w:rPr>
        <w:t xml:space="preserve">me families felt that </w:t>
      </w:r>
      <w:r>
        <w:rPr>
          <w:rFonts w:ascii="Arial" w:hAnsi="Arial" w:cs="Arial"/>
        </w:rPr>
        <w:t>their relative used many of their individual hours support at hea</w:t>
      </w:r>
      <w:r w:rsidR="001012C5">
        <w:rPr>
          <w:rFonts w:ascii="Arial" w:hAnsi="Arial" w:cs="Arial"/>
        </w:rPr>
        <w:t>lth appointments and this lowered</w:t>
      </w:r>
      <w:r>
        <w:rPr>
          <w:rFonts w:ascii="Arial" w:hAnsi="Arial" w:cs="Arial"/>
        </w:rPr>
        <w:t xml:space="preserve"> the hours avai</w:t>
      </w:r>
      <w:r w:rsidR="001012C5">
        <w:rPr>
          <w:rFonts w:ascii="Arial" w:hAnsi="Arial" w:cs="Arial"/>
        </w:rPr>
        <w:t xml:space="preserve">lable for other activities </w:t>
      </w:r>
      <w:r>
        <w:rPr>
          <w:rFonts w:ascii="Arial" w:hAnsi="Arial" w:cs="Arial"/>
        </w:rPr>
        <w:t>and this did seem unfair.</w:t>
      </w:r>
      <w:r w:rsidR="00E0750C">
        <w:rPr>
          <w:rFonts w:ascii="Arial" w:hAnsi="Arial" w:cs="Arial"/>
        </w:rPr>
        <w:t xml:space="preserve"> Support staff and families asked if </w:t>
      </w:r>
      <w:r w:rsidR="00DB0BFC">
        <w:rPr>
          <w:rFonts w:ascii="Arial" w:hAnsi="Arial" w:cs="Arial"/>
        </w:rPr>
        <w:t xml:space="preserve">reviews by the local authority to continue so that </w:t>
      </w:r>
    </w:p>
    <w:p w:rsidR="000A34A9" w:rsidRDefault="00DB0BFC" w:rsidP="00466A96">
      <w:pPr>
        <w:pBdr>
          <w:top w:val="single" w:sz="48" w:space="1" w:color="403152" w:themeColor="accent4" w:themeShade="80"/>
          <w:left w:val="single" w:sz="48" w:space="4" w:color="403152" w:themeColor="accent4" w:themeShade="80"/>
        </w:pBdr>
        <w:rPr>
          <w:rFonts w:ascii="Arial" w:hAnsi="Arial" w:cs="Arial"/>
        </w:rPr>
      </w:pPr>
      <w:proofErr w:type="gramStart"/>
      <w:r>
        <w:rPr>
          <w:rFonts w:ascii="Arial" w:hAnsi="Arial" w:cs="Arial"/>
        </w:rPr>
        <w:lastRenderedPageBreak/>
        <w:t>this</w:t>
      </w:r>
      <w:proofErr w:type="gramEnd"/>
      <w:r>
        <w:rPr>
          <w:rFonts w:ascii="Arial" w:hAnsi="Arial" w:cs="Arial"/>
        </w:rPr>
        <w:t xml:space="preserve"> area of support could be monitored so people were able to use their hours to balance both hea</w:t>
      </w:r>
      <w:r w:rsidR="001012C5">
        <w:rPr>
          <w:rFonts w:ascii="Arial" w:hAnsi="Arial" w:cs="Arial"/>
        </w:rPr>
        <w:t>lth needs and lifestyle choices.</w:t>
      </w:r>
    </w:p>
    <w:p w:rsidR="000A34A9" w:rsidRDefault="000A34A9"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One area that did come out of the surveys was that people really liked to have a named Community Nurse in Dudley. The link worker really made a difference and </w:t>
      </w:r>
      <w:r w:rsidR="001012C5">
        <w:rPr>
          <w:rFonts w:ascii="Arial" w:hAnsi="Arial" w:cs="Arial"/>
        </w:rPr>
        <w:t xml:space="preserve">for those </w:t>
      </w:r>
      <w:r>
        <w:rPr>
          <w:rFonts w:ascii="Arial" w:hAnsi="Arial" w:cs="Arial"/>
        </w:rPr>
        <w:t>reviews of people</w:t>
      </w:r>
      <w:r w:rsidR="001012C5">
        <w:rPr>
          <w:rFonts w:ascii="Arial" w:hAnsi="Arial" w:cs="Arial"/>
        </w:rPr>
        <w:t>,</w:t>
      </w:r>
      <w:r>
        <w:rPr>
          <w:rFonts w:ascii="Arial" w:hAnsi="Arial" w:cs="Arial"/>
        </w:rPr>
        <w:t xml:space="preserve"> many</w:t>
      </w:r>
      <w:r w:rsidR="00F361D0">
        <w:rPr>
          <w:rFonts w:ascii="Arial" w:hAnsi="Arial" w:cs="Arial"/>
        </w:rPr>
        <w:t xml:space="preserve"> who have high support needs as</w:t>
      </w:r>
      <w:r>
        <w:rPr>
          <w:rFonts w:ascii="Arial" w:hAnsi="Arial" w:cs="Arial"/>
        </w:rPr>
        <w:t xml:space="preserve"> changes for these people happened regularly. It also gave staff more confidence and families somewhere to go should they have a query or concern.</w:t>
      </w:r>
    </w:p>
    <w:p w:rsidR="00DD576B" w:rsidRDefault="00DD576B"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To some living at </w:t>
      </w:r>
      <w:r w:rsidR="00E859C7">
        <w:rPr>
          <w:rFonts w:ascii="Arial" w:hAnsi="Arial" w:cs="Arial"/>
        </w:rPr>
        <w:t>Badger</w:t>
      </w:r>
      <w:r>
        <w:rPr>
          <w:rFonts w:ascii="Arial" w:hAnsi="Arial" w:cs="Arial"/>
        </w:rPr>
        <w:t xml:space="preserve"> Court there had been no community nurse for some time and with</w:t>
      </w:r>
      <w:r w:rsidR="001012C5">
        <w:rPr>
          <w:rFonts w:ascii="Arial" w:hAnsi="Arial" w:cs="Arial"/>
        </w:rPr>
        <w:t xml:space="preserve"> these people receiving</w:t>
      </w:r>
      <w:r>
        <w:rPr>
          <w:rFonts w:ascii="Arial" w:hAnsi="Arial" w:cs="Arial"/>
        </w:rPr>
        <w:t xml:space="preserve"> very high support</w:t>
      </w:r>
      <w:r w:rsidR="001012C5">
        <w:rPr>
          <w:rFonts w:ascii="Arial" w:hAnsi="Arial" w:cs="Arial"/>
        </w:rPr>
        <w:t>,</w:t>
      </w:r>
      <w:r>
        <w:rPr>
          <w:rFonts w:ascii="Arial" w:hAnsi="Arial" w:cs="Arial"/>
        </w:rPr>
        <w:t xml:space="preserve"> t</w:t>
      </w:r>
      <w:r w:rsidR="001012C5">
        <w:rPr>
          <w:rFonts w:ascii="Arial" w:hAnsi="Arial" w:cs="Arial"/>
        </w:rPr>
        <w:t>heir needs changed constantly.</w:t>
      </w:r>
      <w:r w:rsidR="00AA5EC1">
        <w:rPr>
          <w:rFonts w:ascii="Arial" w:hAnsi="Arial" w:cs="Arial"/>
        </w:rPr>
        <w:t xml:space="preserve"> </w:t>
      </w:r>
      <w:r w:rsidR="001012C5">
        <w:rPr>
          <w:rFonts w:ascii="Arial" w:hAnsi="Arial" w:cs="Arial"/>
        </w:rPr>
        <w:t>T</w:t>
      </w:r>
      <w:r>
        <w:rPr>
          <w:rFonts w:ascii="Arial" w:hAnsi="Arial" w:cs="Arial"/>
        </w:rPr>
        <w:t>his made some issues take longer to resolve by not having a named allocated worker available for advice or to monitor. Good news however is that in more recent weeks a new allocated worker has been assigned to this scheme.</w:t>
      </w:r>
    </w:p>
    <w:p w:rsidR="000A34A9" w:rsidRDefault="000A34A9"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In supported living</w:t>
      </w:r>
      <w:r w:rsidR="00E47FF0">
        <w:rPr>
          <w:rFonts w:ascii="Arial" w:hAnsi="Arial" w:cs="Arial"/>
        </w:rPr>
        <w:t xml:space="preserve"> </w:t>
      </w:r>
      <w:r w:rsidR="00DD576B">
        <w:rPr>
          <w:rFonts w:ascii="Arial" w:hAnsi="Arial" w:cs="Arial"/>
        </w:rPr>
        <w:t>there does seem to be more issues for people to consider like</w:t>
      </w:r>
      <w:r w:rsidR="00E47FF0">
        <w:rPr>
          <w:rFonts w:ascii="Arial" w:hAnsi="Arial" w:cs="Arial"/>
        </w:rPr>
        <w:t xml:space="preserve">, </w:t>
      </w:r>
      <w:r w:rsidR="00F361D0">
        <w:rPr>
          <w:rFonts w:ascii="Arial" w:hAnsi="Arial" w:cs="Arial"/>
        </w:rPr>
        <w:t>tenancy,</w:t>
      </w:r>
      <w:r w:rsidR="00E47FF0">
        <w:rPr>
          <w:rFonts w:ascii="Arial" w:hAnsi="Arial" w:cs="Arial"/>
        </w:rPr>
        <w:t xml:space="preserve"> health support, finance planning, adaptations, </w:t>
      </w:r>
      <w:r w:rsidR="00F361D0">
        <w:rPr>
          <w:rFonts w:ascii="Arial" w:hAnsi="Arial" w:cs="Arial"/>
        </w:rPr>
        <w:t>mobility etc</w:t>
      </w:r>
      <w:r w:rsidR="00DD576B">
        <w:rPr>
          <w:rFonts w:ascii="Arial" w:hAnsi="Arial" w:cs="Arial"/>
        </w:rPr>
        <w:t xml:space="preserve">. Although care services do </w:t>
      </w:r>
      <w:r w:rsidR="00E47FF0">
        <w:rPr>
          <w:rFonts w:ascii="Arial" w:hAnsi="Arial" w:cs="Arial"/>
        </w:rPr>
        <w:t>the</w:t>
      </w:r>
      <w:r w:rsidR="00DD576B">
        <w:rPr>
          <w:rFonts w:ascii="Arial" w:hAnsi="Arial" w:cs="Arial"/>
        </w:rPr>
        <w:t xml:space="preserve">ir best having </w:t>
      </w:r>
      <w:r w:rsidR="00E47FF0">
        <w:rPr>
          <w:rFonts w:ascii="Arial" w:hAnsi="Arial" w:cs="Arial"/>
        </w:rPr>
        <w:t xml:space="preserve">named </w:t>
      </w:r>
      <w:r w:rsidR="004C471D">
        <w:rPr>
          <w:rFonts w:ascii="Arial" w:hAnsi="Arial" w:cs="Arial"/>
        </w:rPr>
        <w:t xml:space="preserve">community </w:t>
      </w:r>
      <w:r w:rsidR="00E47FF0">
        <w:rPr>
          <w:rFonts w:ascii="Arial" w:hAnsi="Arial" w:cs="Arial"/>
        </w:rPr>
        <w:t xml:space="preserve">workers who knew individuals really made a difference. </w:t>
      </w:r>
      <w:r>
        <w:rPr>
          <w:rFonts w:ascii="Arial" w:hAnsi="Arial" w:cs="Arial"/>
        </w:rPr>
        <w:t xml:space="preserve"> </w:t>
      </w:r>
    </w:p>
    <w:p w:rsidR="004C471D" w:rsidRDefault="001B59DF"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Results have highlighted</w:t>
      </w:r>
      <w:r w:rsidR="004C471D">
        <w:rPr>
          <w:rFonts w:ascii="Arial" w:hAnsi="Arial" w:cs="Arial"/>
        </w:rPr>
        <w:t xml:space="preserve"> that by leaving your life behind in the hospital this did not compromise your health, and that services in the community are very good for people once they have moved out. </w:t>
      </w:r>
    </w:p>
    <w:p w:rsidR="006D7AF6" w:rsidRDefault="006D7AF6" w:rsidP="00466A96">
      <w:pPr>
        <w:pBdr>
          <w:top w:val="single" w:sz="48" w:space="1" w:color="403152" w:themeColor="accent4" w:themeShade="80"/>
          <w:left w:val="single" w:sz="48" w:space="4" w:color="403152" w:themeColor="accent4" w:themeShade="80"/>
        </w:pBdr>
        <w:rPr>
          <w:rFonts w:ascii="Arial" w:hAnsi="Arial" w:cs="Arial"/>
          <w:b/>
        </w:rPr>
      </w:pPr>
      <w:r w:rsidRPr="006D7AF6">
        <w:rPr>
          <w:rFonts w:ascii="Arial" w:hAnsi="Arial" w:cs="Arial"/>
          <w:b/>
        </w:rPr>
        <w:t>Money</w:t>
      </w:r>
    </w:p>
    <w:p w:rsidR="006D7AF6" w:rsidRPr="00376BB5" w:rsidRDefault="006D7AF6" w:rsidP="00466A96">
      <w:pPr>
        <w:pBdr>
          <w:top w:val="single" w:sz="48" w:space="1" w:color="403152" w:themeColor="accent4" w:themeShade="80"/>
          <w:left w:val="single" w:sz="48" w:space="4" w:color="403152" w:themeColor="accent4" w:themeShade="80"/>
        </w:pBdr>
        <w:rPr>
          <w:rFonts w:ascii="Arial" w:hAnsi="Arial" w:cs="Arial"/>
          <w:b/>
        </w:rPr>
      </w:pPr>
      <w:r w:rsidRPr="00376BB5">
        <w:rPr>
          <w:rFonts w:ascii="Arial" w:hAnsi="Arial" w:cs="Arial"/>
          <w:b/>
        </w:rPr>
        <w:t>We asked people what their money was like now compared to life at Ridge Hill</w:t>
      </w:r>
    </w:p>
    <w:p w:rsidR="001012C5" w:rsidRDefault="006D7AF6" w:rsidP="00466A96">
      <w:pPr>
        <w:pBdr>
          <w:top w:val="single" w:sz="48" w:space="1" w:color="403152" w:themeColor="accent4" w:themeShade="80"/>
          <w:left w:val="single" w:sz="48" w:space="4" w:color="403152" w:themeColor="accent4" w:themeShade="80"/>
        </w:pBdr>
        <w:rPr>
          <w:rFonts w:ascii="Arial" w:hAnsi="Arial" w:cs="Arial"/>
        </w:rPr>
      </w:pPr>
      <w:r w:rsidRPr="00376BB5">
        <w:rPr>
          <w:rFonts w:ascii="Arial" w:hAnsi="Arial" w:cs="Arial"/>
        </w:rPr>
        <w:t xml:space="preserve">We found that finances were supported by </w:t>
      </w:r>
      <w:proofErr w:type="gramStart"/>
      <w:r w:rsidRPr="00376BB5">
        <w:rPr>
          <w:rFonts w:ascii="Arial" w:hAnsi="Arial" w:cs="Arial"/>
        </w:rPr>
        <w:t>either the</w:t>
      </w:r>
      <w:proofErr w:type="gramEnd"/>
      <w:r w:rsidRPr="00376BB5">
        <w:rPr>
          <w:rFonts w:ascii="Arial" w:hAnsi="Arial" w:cs="Arial"/>
        </w:rPr>
        <w:t xml:space="preserve"> local authority appointee </w:t>
      </w:r>
      <w:r w:rsidR="00F361D0" w:rsidRPr="00376BB5">
        <w:rPr>
          <w:rFonts w:ascii="Arial" w:hAnsi="Arial" w:cs="Arial"/>
        </w:rPr>
        <w:t>system, the</w:t>
      </w:r>
      <w:r w:rsidRPr="00376BB5">
        <w:rPr>
          <w:rFonts w:ascii="Arial" w:hAnsi="Arial" w:cs="Arial"/>
        </w:rPr>
        <w:t xml:space="preserve"> care provider or families.</w:t>
      </w:r>
    </w:p>
    <w:p w:rsidR="006D7AF6" w:rsidRPr="00376BB5" w:rsidRDefault="001012C5"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 xml:space="preserve">The </w:t>
      </w:r>
      <w:r w:rsidR="006D7AF6" w:rsidRPr="00376BB5">
        <w:rPr>
          <w:rFonts w:ascii="Arial" w:hAnsi="Arial" w:cs="Arial"/>
        </w:rPr>
        <w:t xml:space="preserve">Local </w:t>
      </w:r>
      <w:r w:rsidR="00F361D0">
        <w:rPr>
          <w:rFonts w:ascii="Arial" w:hAnsi="Arial" w:cs="Arial"/>
        </w:rPr>
        <w:t>A</w:t>
      </w:r>
      <w:r w:rsidR="006D7AF6" w:rsidRPr="00376BB5">
        <w:rPr>
          <w:rFonts w:ascii="Arial" w:hAnsi="Arial" w:cs="Arial"/>
        </w:rPr>
        <w:t xml:space="preserve">uthority gave a good service and </w:t>
      </w:r>
      <w:proofErr w:type="gramStart"/>
      <w:r w:rsidR="006D7AF6" w:rsidRPr="00376BB5">
        <w:rPr>
          <w:rFonts w:ascii="Arial" w:hAnsi="Arial" w:cs="Arial"/>
        </w:rPr>
        <w:t>were</w:t>
      </w:r>
      <w:proofErr w:type="gramEnd"/>
      <w:r w:rsidR="006D7AF6" w:rsidRPr="00376BB5">
        <w:rPr>
          <w:rFonts w:ascii="Arial" w:hAnsi="Arial" w:cs="Arial"/>
        </w:rPr>
        <w:t xml:space="preserve"> available to meet with people and give their support at financ</w:t>
      </w:r>
      <w:r>
        <w:rPr>
          <w:rFonts w:ascii="Arial" w:hAnsi="Arial" w:cs="Arial"/>
        </w:rPr>
        <w:t>e planning meetings. The procedures</w:t>
      </w:r>
      <w:r w:rsidR="006D7AF6" w:rsidRPr="00376BB5">
        <w:rPr>
          <w:rFonts w:ascii="Arial" w:hAnsi="Arial" w:cs="Arial"/>
        </w:rPr>
        <w:t xml:space="preserve"> at the hospital made money easy to access for people. Whereas now there </w:t>
      </w:r>
      <w:r w:rsidRPr="00376BB5">
        <w:rPr>
          <w:rFonts w:ascii="Arial" w:hAnsi="Arial" w:cs="Arial"/>
        </w:rPr>
        <w:t xml:space="preserve">are </w:t>
      </w:r>
      <w:r>
        <w:rPr>
          <w:rFonts w:ascii="Arial" w:hAnsi="Arial" w:cs="Arial"/>
        </w:rPr>
        <w:t>more</w:t>
      </w:r>
      <w:r w:rsidR="00F361D0">
        <w:rPr>
          <w:rFonts w:ascii="Arial" w:hAnsi="Arial" w:cs="Arial"/>
        </w:rPr>
        <w:t xml:space="preserve"> </w:t>
      </w:r>
      <w:r w:rsidR="006D7AF6" w:rsidRPr="00376BB5">
        <w:rPr>
          <w:rFonts w:ascii="Arial" w:hAnsi="Arial" w:cs="Arial"/>
        </w:rPr>
        <w:t>systems in place for people to get their money</w:t>
      </w:r>
      <w:r w:rsidR="00F361D0">
        <w:rPr>
          <w:rFonts w:ascii="Arial" w:hAnsi="Arial" w:cs="Arial"/>
        </w:rPr>
        <w:t xml:space="preserve">, but this is more planned. Many commented </w:t>
      </w:r>
      <w:r w:rsidR="006D7AF6" w:rsidRPr="00376BB5">
        <w:rPr>
          <w:rFonts w:ascii="Arial" w:hAnsi="Arial" w:cs="Arial"/>
        </w:rPr>
        <w:t>that some enjoyed colle</w:t>
      </w:r>
      <w:r w:rsidR="00AA5EC1">
        <w:rPr>
          <w:rFonts w:ascii="Arial" w:hAnsi="Arial" w:cs="Arial"/>
        </w:rPr>
        <w:t>c</w:t>
      </w:r>
      <w:r w:rsidR="006D7AF6" w:rsidRPr="00376BB5">
        <w:rPr>
          <w:rFonts w:ascii="Arial" w:hAnsi="Arial" w:cs="Arial"/>
        </w:rPr>
        <w:t>ting their money from the neighbourhood offices in the borough.</w:t>
      </w:r>
    </w:p>
    <w:p w:rsidR="006D7AF6" w:rsidRPr="00376BB5" w:rsidRDefault="006D7AF6" w:rsidP="00466A96">
      <w:pPr>
        <w:pBdr>
          <w:top w:val="single" w:sz="48" w:space="1" w:color="403152" w:themeColor="accent4" w:themeShade="80"/>
          <w:left w:val="single" w:sz="48" w:space="4" w:color="403152" w:themeColor="accent4" w:themeShade="80"/>
        </w:pBdr>
        <w:rPr>
          <w:rFonts w:ascii="Arial" w:hAnsi="Arial" w:cs="Arial"/>
        </w:rPr>
      </w:pPr>
      <w:r w:rsidRPr="00376BB5">
        <w:rPr>
          <w:rFonts w:ascii="Arial" w:hAnsi="Arial" w:cs="Arial"/>
        </w:rPr>
        <w:t xml:space="preserve">Staff awareness around budgeting was good in some places but poor in others, there does need to be work with some support staff on their responsibilities to budget for </w:t>
      </w:r>
      <w:r w:rsidR="00376BB5" w:rsidRPr="00376BB5">
        <w:rPr>
          <w:rFonts w:ascii="Arial" w:hAnsi="Arial" w:cs="Arial"/>
        </w:rPr>
        <w:t>individuals</w:t>
      </w:r>
      <w:r w:rsidRPr="00376BB5">
        <w:rPr>
          <w:rFonts w:ascii="Arial" w:hAnsi="Arial" w:cs="Arial"/>
        </w:rPr>
        <w:t xml:space="preserve"> and plannin</w:t>
      </w:r>
      <w:r w:rsidR="00376BB5" w:rsidRPr="00376BB5">
        <w:rPr>
          <w:rFonts w:ascii="Arial" w:hAnsi="Arial" w:cs="Arial"/>
        </w:rPr>
        <w:t xml:space="preserve">g around how to book holidays </w:t>
      </w:r>
      <w:r w:rsidR="00C9627D">
        <w:rPr>
          <w:rFonts w:ascii="Arial" w:hAnsi="Arial" w:cs="Arial"/>
        </w:rPr>
        <w:t xml:space="preserve">and </w:t>
      </w:r>
      <w:r w:rsidR="00376BB5" w:rsidRPr="00376BB5">
        <w:rPr>
          <w:rFonts w:ascii="Arial" w:hAnsi="Arial" w:cs="Arial"/>
        </w:rPr>
        <w:t xml:space="preserve">how finances work. </w:t>
      </w:r>
    </w:p>
    <w:p w:rsidR="00376BB5" w:rsidRPr="00376BB5" w:rsidRDefault="00C9627D" w:rsidP="00466A96">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w:t>
      </w:r>
      <w:r w:rsidR="00376BB5" w:rsidRPr="00376BB5">
        <w:rPr>
          <w:rFonts w:ascii="Arial" w:hAnsi="Arial" w:cs="Arial"/>
        </w:rPr>
        <w:t>he accommodation and support team along with advocacy have d</w:t>
      </w:r>
      <w:r w:rsidR="001B59DF">
        <w:rPr>
          <w:rFonts w:ascii="Arial" w:hAnsi="Arial" w:cs="Arial"/>
        </w:rPr>
        <w:t xml:space="preserve">one some positive person centred </w:t>
      </w:r>
      <w:r w:rsidR="00376BB5" w:rsidRPr="00376BB5">
        <w:rPr>
          <w:rFonts w:ascii="Arial" w:hAnsi="Arial" w:cs="Arial"/>
        </w:rPr>
        <w:t xml:space="preserve">work around understanding and forecasting </w:t>
      </w:r>
      <w:r w:rsidR="00AD370D" w:rsidRPr="00376BB5">
        <w:rPr>
          <w:rFonts w:ascii="Arial" w:hAnsi="Arial" w:cs="Arial"/>
        </w:rPr>
        <w:t>people’s</w:t>
      </w:r>
      <w:r w:rsidR="001B59DF">
        <w:rPr>
          <w:rFonts w:ascii="Arial" w:hAnsi="Arial" w:cs="Arial"/>
        </w:rPr>
        <w:t xml:space="preserve"> budgets s</w:t>
      </w:r>
      <w:r>
        <w:rPr>
          <w:rFonts w:ascii="Arial" w:hAnsi="Arial" w:cs="Arial"/>
        </w:rPr>
        <w:t>o they make</w:t>
      </w:r>
      <w:r w:rsidR="00376BB5" w:rsidRPr="00376BB5">
        <w:rPr>
          <w:rFonts w:ascii="Arial" w:hAnsi="Arial" w:cs="Arial"/>
        </w:rPr>
        <w:t xml:space="preserve"> the most out of their money and it would be good to con</w:t>
      </w:r>
      <w:r>
        <w:rPr>
          <w:rFonts w:ascii="Arial" w:hAnsi="Arial" w:cs="Arial"/>
        </w:rPr>
        <w:t>tinue some of this work with all</w:t>
      </w:r>
      <w:r w:rsidR="00376BB5" w:rsidRPr="00376BB5">
        <w:rPr>
          <w:rFonts w:ascii="Arial" w:hAnsi="Arial" w:cs="Arial"/>
        </w:rPr>
        <w:t xml:space="preserve"> people involved in the resettlement scheme. </w:t>
      </w:r>
    </w:p>
    <w:p w:rsidR="0040712D" w:rsidRDefault="0040712D" w:rsidP="00466A96">
      <w:pPr>
        <w:pBdr>
          <w:top w:val="single" w:sz="48" w:space="1" w:color="403152" w:themeColor="accent4" w:themeShade="80"/>
          <w:left w:val="single" w:sz="48" w:space="4" w:color="403152" w:themeColor="accent4" w:themeShade="80"/>
        </w:pBdr>
        <w:rPr>
          <w:rFonts w:ascii="Arial" w:hAnsi="Arial" w:cs="Arial"/>
        </w:rPr>
      </w:pPr>
    </w:p>
    <w:p w:rsidR="001847AE" w:rsidRDefault="001847AE" w:rsidP="00466A96">
      <w:pPr>
        <w:pBdr>
          <w:top w:val="single" w:sz="48" w:space="1" w:color="403152" w:themeColor="accent4" w:themeShade="80"/>
          <w:left w:val="single" w:sz="48" w:space="4" w:color="403152" w:themeColor="accent4" w:themeShade="80"/>
        </w:pBdr>
        <w:rPr>
          <w:rFonts w:ascii="Arial" w:hAnsi="Arial" w:cs="Arial"/>
        </w:rPr>
      </w:pPr>
    </w:p>
    <w:p w:rsidR="001847AE" w:rsidRDefault="001847AE" w:rsidP="00466A96">
      <w:pPr>
        <w:pBdr>
          <w:top w:val="single" w:sz="48" w:space="1" w:color="403152" w:themeColor="accent4" w:themeShade="80"/>
          <w:left w:val="single" w:sz="48" w:space="4" w:color="403152" w:themeColor="accent4" w:themeShade="80"/>
        </w:pBdr>
        <w:rPr>
          <w:rFonts w:ascii="Arial" w:hAnsi="Arial" w:cs="Arial"/>
        </w:rPr>
      </w:pPr>
    </w:p>
    <w:p w:rsidR="001847AE" w:rsidRDefault="001847AE" w:rsidP="00466A96">
      <w:pPr>
        <w:pBdr>
          <w:top w:val="single" w:sz="48" w:space="1" w:color="403152" w:themeColor="accent4" w:themeShade="80"/>
          <w:left w:val="single" w:sz="48" w:space="4" w:color="403152" w:themeColor="accent4" w:themeShade="80"/>
        </w:pBdr>
        <w:rPr>
          <w:rFonts w:ascii="Arial" w:hAnsi="Arial" w:cs="Arial"/>
        </w:rPr>
      </w:pPr>
    </w:p>
    <w:p w:rsidR="00E64323" w:rsidRDefault="00376BB5" w:rsidP="00376BB5">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lastRenderedPageBreak/>
        <w:drawing>
          <wp:inline distT="0" distB="0" distL="0" distR="0" wp14:anchorId="5350F43D" wp14:editId="63B6A5F8">
            <wp:extent cx="4152900" cy="23526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6BB5" w:rsidRDefault="00376BB5" w:rsidP="00376BB5">
      <w:pPr>
        <w:pBdr>
          <w:top w:val="single" w:sz="48" w:space="1" w:color="403152" w:themeColor="accent4" w:themeShade="80"/>
          <w:left w:val="single" w:sz="48" w:space="4" w:color="403152" w:themeColor="accent4" w:themeShade="80"/>
        </w:pBdr>
        <w:jc w:val="center"/>
        <w:rPr>
          <w:rFonts w:ascii="Arial" w:hAnsi="Arial" w:cs="Arial"/>
        </w:rPr>
      </w:pPr>
      <w:r>
        <w:rPr>
          <w:noProof/>
          <w:lang w:eastAsia="en-GB"/>
        </w:rPr>
        <w:drawing>
          <wp:inline distT="0" distB="0" distL="0" distR="0" wp14:anchorId="6593C90B" wp14:editId="6E284454">
            <wp:extent cx="4114800" cy="2238375"/>
            <wp:effectExtent l="0" t="0" r="190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6BB5" w:rsidRDefault="00376BB5" w:rsidP="00376BB5">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The hospital</w:t>
      </w:r>
      <w:r w:rsidR="00653D99">
        <w:rPr>
          <w:rFonts w:ascii="Arial" w:hAnsi="Arial" w:cs="Arial"/>
        </w:rPr>
        <w:t xml:space="preserve"> structures</w:t>
      </w:r>
      <w:r w:rsidR="007623BC">
        <w:rPr>
          <w:rFonts w:ascii="Arial" w:hAnsi="Arial" w:cs="Arial"/>
        </w:rPr>
        <w:t xml:space="preserve"> mad</w:t>
      </w:r>
      <w:r>
        <w:rPr>
          <w:rFonts w:ascii="Arial" w:hAnsi="Arial" w:cs="Arial"/>
        </w:rPr>
        <w:t>e decisions</w:t>
      </w:r>
      <w:r w:rsidR="00653D99">
        <w:rPr>
          <w:rFonts w:ascii="Arial" w:hAnsi="Arial" w:cs="Arial"/>
        </w:rPr>
        <w:t xml:space="preserve"> around holidays and ordering money </w:t>
      </w:r>
      <w:r>
        <w:rPr>
          <w:rFonts w:ascii="Arial" w:hAnsi="Arial" w:cs="Arial"/>
        </w:rPr>
        <w:t>easier</w:t>
      </w:r>
      <w:r w:rsidR="00C9627D">
        <w:rPr>
          <w:rFonts w:ascii="Arial" w:hAnsi="Arial" w:cs="Arial"/>
        </w:rPr>
        <w:t xml:space="preserve"> and</w:t>
      </w:r>
      <w:r w:rsidR="007623BC">
        <w:rPr>
          <w:rFonts w:ascii="Arial" w:hAnsi="Arial" w:cs="Arial"/>
        </w:rPr>
        <w:t xml:space="preserve"> </w:t>
      </w:r>
      <w:r w:rsidR="00653D99">
        <w:rPr>
          <w:rFonts w:ascii="Arial" w:hAnsi="Arial" w:cs="Arial"/>
        </w:rPr>
        <w:t>not so time consuming</w:t>
      </w:r>
      <w:r w:rsidR="007623BC">
        <w:rPr>
          <w:rFonts w:ascii="Arial" w:hAnsi="Arial" w:cs="Arial"/>
        </w:rPr>
        <w:t>.</w:t>
      </w:r>
      <w:r w:rsidR="00510759">
        <w:rPr>
          <w:rFonts w:ascii="Arial" w:hAnsi="Arial" w:cs="Arial"/>
        </w:rPr>
        <w:t xml:space="preserve"> </w:t>
      </w:r>
      <w:r w:rsidR="007623BC">
        <w:rPr>
          <w:rFonts w:ascii="Arial" w:hAnsi="Arial" w:cs="Arial"/>
        </w:rPr>
        <w:t>N</w:t>
      </w:r>
      <w:r>
        <w:rPr>
          <w:rFonts w:ascii="Arial" w:hAnsi="Arial" w:cs="Arial"/>
        </w:rPr>
        <w:t xml:space="preserve">ow the process is </w:t>
      </w:r>
      <w:proofErr w:type="gramStart"/>
      <w:r>
        <w:rPr>
          <w:rFonts w:ascii="Arial" w:hAnsi="Arial" w:cs="Arial"/>
        </w:rPr>
        <w:t>more lengthy</w:t>
      </w:r>
      <w:proofErr w:type="gramEnd"/>
      <w:r w:rsidR="00653D99">
        <w:rPr>
          <w:rFonts w:ascii="Arial" w:hAnsi="Arial" w:cs="Arial"/>
        </w:rPr>
        <w:t>,</w:t>
      </w:r>
      <w:r>
        <w:rPr>
          <w:rFonts w:ascii="Arial" w:hAnsi="Arial" w:cs="Arial"/>
        </w:rPr>
        <w:t xml:space="preserve"> but more person centred </w:t>
      </w:r>
      <w:r w:rsidR="00653D99">
        <w:rPr>
          <w:rFonts w:ascii="Arial" w:hAnsi="Arial" w:cs="Arial"/>
        </w:rPr>
        <w:t>and offer</w:t>
      </w:r>
      <w:r w:rsidR="00C9627D">
        <w:rPr>
          <w:rFonts w:ascii="Arial" w:hAnsi="Arial" w:cs="Arial"/>
        </w:rPr>
        <w:t>s</w:t>
      </w:r>
      <w:r w:rsidR="00653D99">
        <w:rPr>
          <w:rFonts w:ascii="Arial" w:hAnsi="Arial" w:cs="Arial"/>
        </w:rPr>
        <w:t xml:space="preserve"> more </w:t>
      </w:r>
      <w:r w:rsidR="00017228">
        <w:rPr>
          <w:rFonts w:ascii="Arial" w:hAnsi="Arial" w:cs="Arial"/>
        </w:rPr>
        <w:t xml:space="preserve">choice. </w:t>
      </w:r>
      <w:r>
        <w:rPr>
          <w:rFonts w:ascii="Arial" w:hAnsi="Arial" w:cs="Arial"/>
        </w:rPr>
        <w:t xml:space="preserve">The effort and focus has shifted </w:t>
      </w:r>
      <w:r w:rsidR="00653D99">
        <w:rPr>
          <w:rFonts w:ascii="Arial" w:hAnsi="Arial" w:cs="Arial"/>
        </w:rPr>
        <w:t>now more on the support workers to be inventive and staff asked for better help to plan to do this for the people they support.</w:t>
      </w:r>
    </w:p>
    <w:p w:rsidR="00884197" w:rsidRDefault="00786AC2" w:rsidP="00290A71">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The results have shown that money at Ridge Hill was managed for people well but now in the community individuals have more choice and accessibility to spend it.</w:t>
      </w: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p>
    <w:p w:rsidR="00510759" w:rsidRDefault="00510759" w:rsidP="00290A71">
      <w:pPr>
        <w:pBdr>
          <w:top w:val="single" w:sz="48" w:space="1" w:color="403152" w:themeColor="accent4" w:themeShade="80"/>
          <w:left w:val="single" w:sz="48" w:space="4" w:color="403152" w:themeColor="accent4" w:themeShade="80"/>
        </w:pBdr>
        <w:rPr>
          <w:rFonts w:ascii="Arial" w:hAnsi="Arial" w:cs="Arial"/>
          <w:b/>
        </w:rPr>
      </w:pPr>
    </w:p>
    <w:p w:rsidR="00DC1017" w:rsidRDefault="00DC1017" w:rsidP="00290A71">
      <w:pPr>
        <w:pBdr>
          <w:top w:val="single" w:sz="48" w:space="1" w:color="403152" w:themeColor="accent4" w:themeShade="80"/>
          <w:left w:val="single" w:sz="48" w:space="4" w:color="403152" w:themeColor="accent4" w:themeShade="80"/>
        </w:pBdr>
        <w:rPr>
          <w:rFonts w:ascii="Arial" w:hAnsi="Arial" w:cs="Arial"/>
          <w:b/>
        </w:rPr>
      </w:pP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rPr>
      </w:pPr>
      <w:r>
        <w:rPr>
          <w:rFonts w:ascii="Arial" w:hAnsi="Arial" w:cs="Arial"/>
          <w:b/>
        </w:rPr>
        <w:lastRenderedPageBreak/>
        <w:t>Conclusion</w:t>
      </w:r>
    </w:p>
    <w:p w:rsidR="00290A71" w:rsidRDefault="00BE0536" w:rsidP="00290A71">
      <w:pPr>
        <w:pBdr>
          <w:top w:val="single" w:sz="48" w:space="1" w:color="403152" w:themeColor="accent4" w:themeShade="80"/>
          <w:left w:val="single" w:sz="48" w:space="4" w:color="403152" w:themeColor="accent4" w:themeShade="80"/>
        </w:pBdr>
        <w:rPr>
          <w:rFonts w:ascii="Arial" w:hAnsi="Arial" w:cs="Arial"/>
          <w:b/>
        </w:rPr>
      </w:pPr>
      <w:r>
        <w:rPr>
          <w:rFonts w:ascii="Arial" w:hAnsi="Arial" w:cs="Arial"/>
          <w:b/>
        </w:rPr>
        <w:t>In conclusion</w:t>
      </w:r>
      <w:r w:rsidR="00290A71">
        <w:rPr>
          <w:rFonts w:ascii="Arial" w:hAnsi="Arial" w:cs="Arial"/>
          <w:b/>
        </w:rPr>
        <w:t>, people‘s</w:t>
      </w:r>
      <w:r>
        <w:rPr>
          <w:rFonts w:ascii="Arial" w:hAnsi="Arial" w:cs="Arial"/>
          <w:b/>
        </w:rPr>
        <w:t xml:space="preserve"> lives appear to have</w:t>
      </w:r>
      <w:r w:rsidR="00290A71">
        <w:rPr>
          <w:rFonts w:ascii="Arial" w:hAnsi="Arial" w:cs="Arial"/>
          <w:b/>
        </w:rPr>
        <w:t xml:space="preserve"> dramatically</w:t>
      </w:r>
      <w:r>
        <w:rPr>
          <w:rFonts w:ascii="Arial" w:hAnsi="Arial" w:cs="Arial"/>
          <w:b/>
        </w:rPr>
        <w:t xml:space="preserve"> changed</w:t>
      </w:r>
      <w:r w:rsidR="00290A71">
        <w:rPr>
          <w:rFonts w:ascii="Arial" w:hAnsi="Arial" w:cs="Arial"/>
          <w:b/>
        </w:rPr>
        <w:t xml:space="preserve"> by moving away from their institutionalised lives at the hospital. </w:t>
      </w:r>
      <w:r w:rsidR="00884197">
        <w:rPr>
          <w:rFonts w:ascii="Arial" w:hAnsi="Arial" w:cs="Arial"/>
          <w:b/>
        </w:rPr>
        <w:t>Individuals clearly have</w:t>
      </w:r>
      <w:r w:rsidR="00290A71">
        <w:rPr>
          <w:rFonts w:ascii="Arial" w:hAnsi="Arial" w:cs="Arial"/>
          <w:b/>
        </w:rPr>
        <w:t xml:space="preserve"> a greater presence in their communities and </w:t>
      </w:r>
      <w:r w:rsidR="00884197">
        <w:rPr>
          <w:rFonts w:ascii="Arial" w:hAnsi="Arial" w:cs="Arial"/>
          <w:b/>
        </w:rPr>
        <w:t>have more</w:t>
      </w:r>
      <w:r w:rsidR="00290A71">
        <w:rPr>
          <w:rFonts w:ascii="Arial" w:hAnsi="Arial" w:cs="Arial"/>
          <w:b/>
        </w:rPr>
        <w:t xml:space="preserve"> </w:t>
      </w:r>
      <w:r w:rsidR="00884197">
        <w:rPr>
          <w:rFonts w:ascii="Arial" w:hAnsi="Arial" w:cs="Arial"/>
          <w:b/>
        </w:rPr>
        <w:t xml:space="preserve">independence. </w:t>
      </w:r>
      <w:r w:rsidR="00290A71">
        <w:rPr>
          <w:rFonts w:ascii="Arial" w:hAnsi="Arial" w:cs="Arial"/>
          <w:b/>
        </w:rPr>
        <w:t xml:space="preserve">Money </w:t>
      </w:r>
      <w:r w:rsidR="00884197">
        <w:rPr>
          <w:rFonts w:ascii="Arial" w:hAnsi="Arial" w:cs="Arial"/>
          <w:b/>
        </w:rPr>
        <w:t>and transport are able to be more</w:t>
      </w:r>
      <w:r w:rsidR="00290A71">
        <w:rPr>
          <w:rFonts w:ascii="Arial" w:hAnsi="Arial" w:cs="Arial"/>
          <w:b/>
        </w:rPr>
        <w:t xml:space="preserve"> person centred a</w:t>
      </w:r>
      <w:r>
        <w:rPr>
          <w:rFonts w:ascii="Arial" w:hAnsi="Arial" w:cs="Arial"/>
          <w:b/>
        </w:rPr>
        <w:t xml:space="preserve">nd have </w:t>
      </w:r>
      <w:r w:rsidR="006276F2">
        <w:rPr>
          <w:rFonts w:ascii="Arial" w:hAnsi="Arial" w:cs="Arial"/>
          <w:b/>
        </w:rPr>
        <w:t xml:space="preserve">given people more choice in how they live. </w:t>
      </w:r>
      <w:r w:rsidR="00290A71">
        <w:rPr>
          <w:rFonts w:ascii="Arial" w:hAnsi="Arial" w:cs="Arial"/>
          <w:b/>
        </w:rPr>
        <w:t>Health support away from the hospital</w:t>
      </w:r>
      <w:r w:rsidR="006276F2">
        <w:rPr>
          <w:rFonts w:ascii="Arial" w:hAnsi="Arial" w:cs="Arial"/>
          <w:b/>
        </w:rPr>
        <w:t xml:space="preserve"> was good and had become more individual led</w:t>
      </w:r>
      <w:r w:rsidR="00290A71">
        <w:rPr>
          <w:rFonts w:ascii="Arial" w:hAnsi="Arial" w:cs="Arial"/>
          <w:b/>
        </w:rPr>
        <w:t xml:space="preserve">. </w:t>
      </w:r>
      <w:r w:rsidR="00884197">
        <w:rPr>
          <w:rFonts w:ascii="Arial" w:hAnsi="Arial" w:cs="Arial"/>
          <w:b/>
        </w:rPr>
        <w:t>Finally</w:t>
      </w:r>
      <w:r w:rsidR="006276F2">
        <w:rPr>
          <w:rFonts w:ascii="Arial" w:hAnsi="Arial" w:cs="Arial"/>
          <w:b/>
        </w:rPr>
        <w:t>,</w:t>
      </w:r>
      <w:r w:rsidR="00884197">
        <w:rPr>
          <w:rFonts w:ascii="Arial" w:hAnsi="Arial" w:cs="Arial"/>
          <w:b/>
        </w:rPr>
        <w:t xml:space="preserve"> </w:t>
      </w:r>
      <w:r w:rsidR="006276F2">
        <w:rPr>
          <w:rFonts w:ascii="Arial" w:hAnsi="Arial" w:cs="Arial"/>
          <w:b/>
        </w:rPr>
        <w:t xml:space="preserve">being supported in </w:t>
      </w:r>
      <w:r w:rsidR="00884197">
        <w:rPr>
          <w:rFonts w:ascii="Arial" w:hAnsi="Arial" w:cs="Arial"/>
          <w:b/>
        </w:rPr>
        <w:t>your very own home and feeling safe within this</w:t>
      </w:r>
      <w:r w:rsidR="006276F2">
        <w:rPr>
          <w:rFonts w:ascii="Arial" w:hAnsi="Arial" w:cs="Arial"/>
          <w:b/>
        </w:rPr>
        <w:t>, was the area where it</w:t>
      </w:r>
      <w:r w:rsidR="001847AE">
        <w:rPr>
          <w:rFonts w:ascii="Arial" w:hAnsi="Arial" w:cs="Arial"/>
          <w:b/>
        </w:rPr>
        <w:t xml:space="preserve"> had shown to have</w:t>
      </w:r>
      <w:r w:rsidR="006276F2">
        <w:rPr>
          <w:rFonts w:ascii="Arial" w:hAnsi="Arial" w:cs="Arial"/>
          <w:b/>
        </w:rPr>
        <w:t xml:space="preserve"> the most significant change for people</w:t>
      </w:r>
      <w:r w:rsidR="00884197">
        <w:rPr>
          <w:rFonts w:ascii="Arial" w:hAnsi="Arial" w:cs="Arial"/>
          <w:b/>
        </w:rPr>
        <w:t>.</w:t>
      </w:r>
    </w:p>
    <w:p w:rsidR="00884197" w:rsidRDefault="00884197" w:rsidP="00290A71">
      <w:pPr>
        <w:pBdr>
          <w:top w:val="single" w:sz="48" w:space="1" w:color="403152" w:themeColor="accent4" w:themeShade="80"/>
          <w:left w:val="single" w:sz="48" w:space="4" w:color="403152" w:themeColor="accent4" w:themeShade="80"/>
        </w:pBdr>
        <w:rPr>
          <w:rFonts w:ascii="Arial" w:hAnsi="Arial" w:cs="Arial"/>
          <w:b/>
        </w:rPr>
      </w:pPr>
      <w:r>
        <w:rPr>
          <w:rFonts w:ascii="Arial" w:hAnsi="Arial" w:cs="Arial"/>
          <w:b/>
        </w:rPr>
        <w:t xml:space="preserve">From our findings we would like to make the following recommendations: </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sidRPr="00FB5D0D">
        <w:rPr>
          <w:rFonts w:ascii="Arial" w:hAnsi="Arial" w:cs="Arial"/>
          <w:b/>
        </w:rPr>
        <w:t>Community</w:t>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t xml:space="preserve">         </w:t>
      </w:r>
      <w:r>
        <w:rPr>
          <w:rFonts w:ascii="Arial" w:hAnsi="Arial" w:cs="Arial"/>
        </w:rPr>
        <w:t>Considerations when planning and commissioning new builds for people with learning disabilities that they need to be accessible to local amenities</w:t>
      </w:r>
    </w:p>
    <w:p w:rsidR="00290A71" w:rsidRDefault="00290A71" w:rsidP="00290A71">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More information to people (not just online services) that can give access to activities in the community. Particularly for people who have more profound and complex needs and those who have behaviours that challenge</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sidRPr="00FB5D0D">
        <w:rPr>
          <w:rFonts w:ascii="Arial" w:hAnsi="Arial" w:cs="Arial"/>
          <w:b/>
        </w:rPr>
        <w:t>Independence</w:t>
      </w:r>
      <w:r w:rsidR="00884197">
        <w:rPr>
          <w:rFonts w:ascii="Arial" w:hAnsi="Arial" w:cs="Arial"/>
          <w:b/>
        </w:rPr>
        <w:t xml:space="preserve">                                                                                                                    </w:t>
      </w:r>
      <w:r>
        <w:rPr>
          <w:rFonts w:ascii="Arial" w:hAnsi="Arial" w:cs="Arial"/>
        </w:rPr>
        <w:t>Some tenant’s garden areas need updating and developing so that can increase their mobility to access to their garden space more independently and safely</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sidRPr="00FB5D0D">
        <w:rPr>
          <w:rFonts w:ascii="Arial" w:hAnsi="Arial" w:cs="Arial"/>
          <w:b/>
        </w:rPr>
        <w:t>Transport</w:t>
      </w:r>
      <w:r w:rsidR="00884197">
        <w:rPr>
          <w:rFonts w:ascii="Arial" w:hAnsi="Arial" w:cs="Arial"/>
          <w:b/>
        </w:rPr>
        <w:t xml:space="preserve">                                                                                                                                 </w:t>
      </w:r>
      <w:r>
        <w:rPr>
          <w:rFonts w:ascii="Arial" w:hAnsi="Arial" w:cs="Arial"/>
        </w:rPr>
        <w:t>On-going support for staff to understand more around people’s mobility budgets and how to work out if owning a vehicle is the best choice for that person</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sidRPr="00FB5D0D">
        <w:rPr>
          <w:rFonts w:ascii="Arial" w:hAnsi="Arial" w:cs="Arial"/>
          <w:b/>
        </w:rPr>
        <w:t>Housing</w:t>
      </w:r>
      <w:r w:rsidR="00884197">
        <w:rPr>
          <w:rFonts w:ascii="Arial" w:hAnsi="Arial" w:cs="Arial"/>
          <w:b/>
        </w:rPr>
        <w:t xml:space="preserve">                                                                                                                                    </w:t>
      </w:r>
      <w:r>
        <w:rPr>
          <w:rFonts w:ascii="Arial" w:hAnsi="Arial" w:cs="Arial"/>
        </w:rPr>
        <w:t>A suggestion that monitoring/questionnaires be used by housing providers around issues regarding maintenance on homes to help people feedback to their landlords better</w:t>
      </w:r>
    </w:p>
    <w:p w:rsidR="00290A71" w:rsidRDefault="00290A71" w:rsidP="00290A71">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Easier to understand tenancy agreements and better breakdowns of service charges</w:t>
      </w:r>
    </w:p>
    <w:p w:rsidR="00290A71" w:rsidRDefault="00290A71" w:rsidP="00290A71">
      <w:pPr>
        <w:pBdr>
          <w:top w:val="single" w:sz="48" w:space="1" w:color="403152" w:themeColor="accent4" w:themeShade="80"/>
          <w:left w:val="single" w:sz="48" w:space="4" w:color="403152" w:themeColor="accent4" w:themeShade="80"/>
        </w:pBdr>
        <w:rPr>
          <w:rFonts w:ascii="Arial" w:hAnsi="Arial" w:cs="Arial"/>
        </w:rPr>
      </w:pPr>
      <w:r>
        <w:rPr>
          <w:rFonts w:ascii="Arial" w:hAnsi="Arial" w:cs="Arial"/>
        </w:rPr>
        <w:t>Further training and support to staff and families on how to support people to update, modify and maintain their properties</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Pr>
          <w:rFonts w:ascii="Arial" w:hAnsi="Arial" w:cs="Arial"/>
          <w:b/>
        </w:rPr>
        <w:t>Feeling safe</w:t>
      </w:r>
      <w:r w:rsidR="00884197">
        <w:rPr>
          <w:rFonts w:ascii="Arial" w:hAnsi="Arial" w:cs="Arial"/>
          <w:b/>
        </w:rPr>
        <w:t xml:space="preserve">                                                                                                               </w:t>
      </w:r>
      <w:r>
        <w:rPr>
          <w:rFonts w:ascii="Arial" w:hAnsi="Arial" w:cs="Arial"/>
        </w:rPr>
        <w:t>Investigations into the lack of lighting on the Badger Court, Brooksmead and Meadow Rise properties to be looked into</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sidRPr="00FB5D0D">
        <w:rPr>
          <w:rFonts w:ascii="Arial" w:hAnsi="Arial" w:cs="Arial"/>
          <w:b/>
        </w:rPr>
        <w:t>Health</w:t>
      </w:r>
      <w:r w:rsidR="00884197">
        <w:rPr>
          <w:rFonts w:ascii="Arial" w:hAnsi="Arial" w:cs="Arial"/>
          <w:b/>
        </w:rPr>
        <w:t xml:space="preserve">                                                                                                                                </w:t>
      </w:r>
      <w:r>
        <w:rPr>
          <w:rFonts w:ascii="Arial" w:hAnsi="Arial" w:cs="Arial"/>
        </w:rPr>
        <w:t>Monitoring for the people who used many of their individual hours for health appointments to see how many of these hours were used</w:t>
      </w:r>
    </w:p>
    <w:p w:rsidR="00290A71" w:rsidRPr="00884197" w:rsidRDefault="00290A71" w:rsidP="00290A71">
      <w:pPr>
        <w:pBdr>
          <w:top w:val="single" w:sz="48" w:space="1" w:color="403152" w:themeColor="accent4" w:themeShade="80"/>
          <w:left w:val="single" w:sz="48" w:space="4" w:color="403152" w:themeColor="accent4" w:themeShade="80"/>
        </w:pBdr>
        <w:rPr>
          <w:rFonts w:ascii="Arial" w:hAnsi="Arial" w:cs="Arial"/>
          <w:b/>
        </w:rPr>
      </w:pPr>
      <w:r w:rsidRPr="00FB5D0D">
        <w:rPr>
          <w:rFonts w:ascii="Arial" w:hAnsi="Arial" w:cs="Arial"/>
          <w:b/>
        </w:rPr>
        <w:t>Money</w:t>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r>
      <w:r w:rsidR="00884197">
        <w:rPr>
          <w:rFonts w:ascii="Arial" w:hAnsi="Arial" w:cs="Arial"/>
          <w:b/>
        </w:rPr>
        <w:tab/>
        <w:t xml:space="preserve">         </w:t>
      </w:r>
      <w:r>
        <w:rPr>
          <w:rFonts w:ascii="Arial" w:hAnsi="Arial" w:cs="Arial"/>
        </w:rPr>
        <w:t>Further training to increase staff and families awareness on how to budget for the people they support and how to maximise the use of this money</w:t>
      </w:r>
    </w:p>
    <w:p w:rsidR="00A147EA" w:rsidRDefault="00A147EA" w:rsidP="00376BB5">
      <w:pPr>
        <w:pBdr>
          <w:top w:val="single" w:sz="48" w:space="1" w:color="403152" w:themeColor="accent4" w:themeShade="80"/>
          <w:left w:val="single" w:sz="48" w:space="4" w:color="403152" w:themeColor="accent4" w:themeShade="80"/>
        </w:pBdr>
        <w:rPr>
          <w:rFonts w:ascii="Arial" w:hAnsi="Arial" w:cs="Arial"/>
          <w:b/>
        </w:rPr>
      </w:pPr>
    </w:p>
    <w:p w:rsidR="00376BB5" w:rsidRPr="00D60EE6" w:rsidRDefault="00376BB5" w:rsidP="00376BB5">
      <w:pPr>
        <w:pBdr>
          <w:top w:val="single" w:sz="48" w:space="1" w:color="403152" w:themeColor="accent4" w:themeShade="80"/>
          <w:left w:val="single" w:sz="48" w:space="4" w:color="403152" w:themeColor="accent4" w:themeShade="80"/>
        </w:pBdr>
        <w:rPr>
          <w:rFonts w:ascii="Arial" w:hAnsi="Arial" w:cs="Arial"/>
          <w:b/>
        </w:rPr>
      </w:pPr>
      <w:r w:rsidRPr="00D60EE6">
        <w:rPr>
          <w:rFonts w:ascii="Arial" w:hAnsi="Arial" w:cs="Arial"/>
          <w:b/>
        </w:rPr>
        <w:lastRenderedPageBreak/>
        <w:t>Listed below are a fe</w:t>
      </w:r>
      <w:r w:rsidR="00653D99" w:rsidRPr="00D60EE6">
        <w:rPr>
          <w:rFonts w:ascii="Arial" w:hAnsi="Arial" w:cs="Arial"/>
          <w:b/>
        </w:rPr>
        <w:t>w comments made by people interviewed</w:t>
      </w:r>
      <w:r w:rsidR="00594D1F">
        <w:rPr>
          <w:rFonts w:ascii="Arial" w:hAnsi="Arial" w:cs="Arial"/>
          <w:b/>
        </w:rPr>
        <w:t xml:space="preserve"> that I</w:t>
      </w:r>
      <w:r w:rsidR="00D9775E">
        <w:rPr>
          <w:rFonts w:ascii="Arial" w:hAnsi="Arial" w:cs="Arial"/>
          <w:b/>
        </w:rPr>
        <w:t xml:space="preserve"> felt needed to be include</w:t>
      </w:r>
      <w:r w:rsidRPr="00D60EE6">
        <w:rPr>
          <w:rFonts w:ascii="Arial" w:hAnsi="Arial" w:cs="Arial"/>
          <w:b/>
        </w:rPr>
        <w:t xml:space="preserve"> to this report</w:t>
      </w:r>
      <w:r w:rsidR="00D9775E">
        <w:rPr>
          <w:rFonts w:ascii="Arial" w:hAnsi="Arial" w:cs="Arial"/>
          <w:b/>
        </w:rPr>
        <w:t>.</w:t>
      </w:r>
    </w:p>
    <w:p w:rsidR="00653D99" w:rsidRDefault="00653D99"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“H</w:t>
      </w:r>
      <w:r w:rsidRPr="00653D99">
        <w:rPr>
          <w:rFonts w:ascii="Arial" w:hAnsi="Arial" w:cs="Arial"/>
          <w:i/>
        </w:rPr>
        <w:t>aving a named worker from CTLD has really helped the person we support”</w:t>
      </w:r>
    </w:p>
    <w:p w:rsidR="00653D99" w:rsidRDefault="00653D99"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 xml:space="preserve">Staff </w:t>
      </w:r>
      <w:r w:rsidR="00884197">
        <w:rPr>
          <w:rFonts w:ascii="Arial" w:hAnsi="Arial" w:cs="Arial"/>
          <w:i/>
        </w:rPr>
        <w:t>- “</w:t>
      </w:r>
      <w:r>
        <w:rPr>
          <w:rFonts w:ascii="Arial" w:hAnsi="Arial" w:cs="Arial"/>
          <w:i/>
        </w:rPr>
        <w:t xml:space="preserve">When sharing my home with new people it was really important to get the right mix, finding the right personalities was hard, </w:t>
      </w:r>
      <w:r w:rsidR="00380092">
        <w:rPr>
          <w:rFonts w:ascii="Arial" w:hAnsi="Arial" w:cs="Arial"/>
          <w:i/>
        </w:rPr>
        <w:t xml:space="preserve">we had a void place </w:t>
      </w:r>
      <w:r>
        <w:rPr>
          <w:rFonts w:ascii="Arial" w:hAnsi="Arial" w:cs="Arial"/>
          <w:i/>
        </w:rPr>
        <w:t xml:space="preserve">one person didn’t work out, so they listened to us and stopped them coming, we have found the right people now” </w:t>
      </w:r>
      <w:r>
        <w:rPr>
          <w:rFonts w:ascii="Arial" w:hAnsi="Arial" w:cs="Arial"/>
        </w:rPr>
        <w:t>the person then commented “</w:t>
      </w:r>
      <w:r w:rsidR="00380092">
        <w:rPr>
          <w:rFonts w:ascii="Arial" w:hAnsi="Arial" w:cs="Arial"/>
          <w:i/>
        </w:rPr>
        <w:t>I like the people I live with now”</w:t>
      </w:r>
    </w:p>
    <w:p w:rsidR="00380092" w:rsidRDefault="00E705AA"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“I’m</w:t>
      </w:r>
      <w:r w:rsidR="00380092">
        <w:rPr>
          <w:rFonts w:ascii="Arial" w:hAnsi="Arial" w:cs="Arial"/>
          <w:i/>
        </w:rPr>
        <w:t xml:space="preserve"> more interested in things now”</w:t>
      </w:r>
    </w:p>
    <w:p w:rsidR="001105CC" w:rsidRDefault="001105CC"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“Our daughter used to get Hydrotherapy, but doesn’t now, we wish ther</w:t>
      </w:r>
      <w:r w:rsidR="00AA5EC1">
        <w:rPr>
          <w:rFonts w:ascii="Arial" w:hAnsi="Arial" w:cs="Arial"/>
          <w:i/>
        </w:rPr>
        <w:t>e was something she could access</w:t>
      </w:r>
      <w:r>
        <w:rPr>
          <w:rFonts w:ascii="Arial" w:hAnsi="Arial" w:cs="Arial"/>
          <w:i/>
        </w:rPr>
        <w:t xml:space="preserve"> that has similar facilities” </w:t>
      </w:r>
    </w:p>
    <w:p w:rsidR="00380092" w:rsidRDefault="00380092"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“People are involved in their finances more”</w:t>
      </w:r>
    </w:p>
    <w:p w:rsidR="001105CC" w:rsidRDefault="001105CC"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 xml:space="preserve">“We have been so lucky to keep things how he wanted </w:t>
      </w:r>
      <w:r w:rsidR="00E705AA">
        <w:rPr>
          <w:rFonts w:ascii="Arial" w:hAnsi="Arial" w:cs="Arial"/>
          <w:i/>
        </w:rPr>
        <w:t>it, with</w:t>
      </w:r>
      <w:r>
        <w:rPr>
          <w:rFonts w:ascii="Arial" w:hAnsi="Arial" w:cs="Arial"/>
          <w:i/>
        </w:rPr>
        <w:t xml:space="preserve"> him coming to stay with his family every week”</w:t>
      </w:r>
    </w:p>
    <w:p w:rsidR="001105CC" w:rsidRDefault="001105CC"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w:t>
      </w:r>
      <w:r w:rsidR="00AD370D">
        <w:rPr>
          <w:rFonts w:ascii="Arial" w:hAnsi="Arial" w:cs="Arial"/>
          <w:i/>
        </w:rPr>
        <w:t>As f</w:t>
      </w:r>
      <w:r>
        <w:rPr>
          <w:rFonts w:ascii="Arial" w:hAnsi="Arial" w:cs="Arial"/>
          <w:i/>
        </w:rPr>
        <w:t>amily</w:t>
      </w:r>
      <w:r w:rsidR="00AD370D">
        <w:rPr>
          <w:rFonts w:ascii="Arial" w:hAnsi="Arial" w:cs="Arial"/>
          <w:i/>
        </w:rPr>
        <w:t>,</w:t>
      </w:r>
      <w:r>
        <w:rPr>
          <w:rFonts w:ascii="Arial" w:hAnsi="Arial" w:cs="Arial"/>
          <w:i/>
        </w:rPr>
        <w:t xml:space="preserve"> would like to have better communication with staff and be involved in meetings”</w:t>
      </w:r>
    </w:p>
    <w:p w:rsidR="00380092" w:rsidRDefault="00380092"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 xml:space="preserve">“We’ve found a café that really suits </w:t>
      </w:r>
      <w:r w:rsidR="001105CC">
        <w:rPr>
          <w:rFonts w:ascii="Arial" w:hAnsi="Arial" w:cs="Arial"/>
          <w:i/>
        </w:rPr>
        <w:t>him he used to never cope with that;</w:t>
      </w:r>
      <w:r>
        <w:rPr>
          <w:rFonts w:ascii="Arial" w:hAnsi="Arial" w:cs="Arial"/>
          <w:i/>
        </w:rPr>
        <w:t xml:space="preserve"> the </w:t>
      </w:r>
      <w:r w:rsidR="001105CC">
        <w:rPr>
          <w:rFonts w:ascii="Arial" w:hAnsi="Arial" w:cs="Arial"/>
          <w:i/>
        </w:rPr>
        <w:t>staff know</w:t>
      </w:r>
      <w:r>
        <w:rPr>
          <w:rFonts w:ascii="Arial" w:hAnsi="Arial" w:cs="Arial"/>
          <w:i/>
        </w:rPr>
        <w:t xml:space="preserve"> his needs and have made real improvements in his life”</w:t>
      </w:r>
    </w:p>
    <w:p w:rsidR="00380092" w:rsidRDefault="00380092"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 xml:space="preserve">“We trust the staff, they care and look after my son, they are caring and dedicated, </w:t>
      </w:r>
      <w:r w:rsidR="00E705AA">
        <w:rPr>
          <w:rFonts w:ascii="Arial" w:hAnsi="Arial" w:cs="Arial"/>
          <w:i/>
        </w:rPr>
        <w:t>and it’s</w:t>
      </w:r>
      <w:r>
        <w:rPr>
          <w:rFonts w:ascii="Arial" w:hAnsi="Arial" w:cs="Arial"/>
          <w:i/>
        </w:rPr>
        <w:t xml:space="preserve"> a very happy home”</w:t>
      </w:r>
    </w:p>
    <w:p w:rsidR="001105CC" w:rsidRDefault="00C9627D"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w:t>
      </w:r>
      <w:proofErr w:type="gramStart"/>
      <w:r w:rsidR="001105CC">
        <w:rPr>
          <w:rFonts w:ascii="Arial" w:hAnsi="Arial" w:cs="Arial"/>
          <w:i/>
        </w:rPr>
        <w:t>we</w:t>
      </w:r>
      <w:proofErr w:type="gramEnd"/>
      <w:r w:rsidR="001105CC">
        <w:rPr>
          <w:rFonts w:ascii="Arial" w:hAnsi="Arial" w:cs="Arial"/>
          <w:i/>
        </w:rPr>
        <w:t xml:space="preserve"> </w:t>
      </w:r>
      <w:r w:rsidR="00E705AA">
        <w:rPr>
          <w:rFonts w:ascii="Arial" w:hAnsi="Arial" w:cs="Arial"/>
          <w:i/>
        </w:rPr>
        <w:t>want to</w:t>
      </w:r>
      <w:r w:rsidR="001105CC">
        <w:rPr>
          <w:rFonts w:ascii="Arial" w:hAnsi="Arial" w:cs="Arial"/>
          <w:i/>
        </w:rPr>
        <w:t xml:space="preserve"> know about more activities on offer in the community to suit the people </w:t>
      </w:r>
      <w:r w:rsidR="00D60EE6">
        <w:rPr>
          <w:rFonts w:ascii="Arial" w:hAnsi="Arial" w:cs="Arial"/>
          <w:i/>
        </w:rPr>
        <w:t>with higher</w:t>
      </w:r>
      <w:r w:rsidR="001105CC">
        <w:rPr>
          <w:rFonts w:ascii="Arial" w:hAnsi="Arial" w:cs="Arial"/>
          <w:i/>
        </w:rPr>
        <w:t xml:space="preserve"> more complex needs” </w:t>
      </w:r>
    </w:p>
    <w:p w:rsidR="00F8188A" w:rsidRDefault="00F8188A"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 xml:space="preserve">“Moving into his new home from leaving Ridge Hill has made the world of difference to my </w:t>
      </w:r>
      <w:r w:rsidR="001105CC">
        <w:rPr>
          <w:rFonts w:ascii="Arial" w:hAnsi="Arial" w:cs="Arial"/>
          <w:i/>
        </w:rPr>
        <w:t>son;</w:t>
      </w:r>
      <w:r>
        <w:rPr>
          <w:rFonts w:ascii="Arial" w:hAnsi="Arial" w:cs="Arial"/>
          <w:i/>
        </w:rPr>
        <w:t xml:space="preserve"> it has given him a much better quality of life and has made the world of difference”</w:t>
      </w:r>
    </w:p>
    <w:p w:rsidR="00F8188A" w:rsidRDefault="00F8188A" w:rsidP="00376BB5">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w:t>
      </w:r>
      <w:r w:rsidR="001105CC">
        <w:rPr>
          <w:rFonts w:ascii="Arial" w:hAnsi="Arial" w:cs="Arial"/>
          <w:i/>
        </w:rPr>
        <w:t>Having</w:t>
      </w:r>
      <w:r>
        <w:rPr>
          <w:rFonts w:ascii="Arial" w:hAnsi="Arial" w:cs="Arial"/>
          <w:i/>
        </w:rPr>
        <w:t xml:space="preserve"> a dedicate team has reflected in a significant improvement to a person’s behaviours, he often </w:t>
      </w:r>
      <w:r w:rsidR="001105CC">
        <w:rPr>
          <w:rFonts w:ascii="Arial" w:hAnsi="Arial" w:cs="Arial"/>
          <w:i/>
        </w:rPr>
        <w:t>comments</w:t>
      </w:r>
      <w:r>
        <w:rPr>
          <w:rFonts w:ascii="Arial" w:hAnsi="Arial" w:cs="Arial"/>
          <w:i/>
        </w:rPr>
        <w:t xml:space="preserve"> that he is</w:t>
      </w:r>
      <w:r w:rsidR="001105CC">
        <w:rPr>
          <w:rFonts w:ascii="Arial" w:hAnsi="Arial" w:cs="Arial"/>
          <w:i/>
        </w:rPr>
        <w:t>,</w:t>
      </w:r>
      <w:r>
        <w:rPr>
          <w:rFonts w:ascii="Arial" w:hAnsi="Arial" w:cs="Arial"/>
          <w:i/>
        </w:rPr>
        <w:t xml:space="preserve"> Very Happy</w:t>
      </w:r>
      <w:r w:rsidR="001105CC">
        <w:rPr>
          <w:rFonts w:ascii="Arial" w:hAnsi="Arial" w:cs="Arial"/>
          <w:i/>
        </w:rPr>
        <w:t>!”</w:t>
      </w:r>
    </w:p>
    <w:p w:rsidR="00E705AA" w:rsidRDefault="00D60EE6" w:rsidP="00E705AA">
      <w:pPr>
        <w:pBdr>
          <w:top w:val="single" w:sz="48" w:space="1" w:color="403152" w:themeColor="accent4" w:themeShade="80"/>
          <w:left w:val="single" w:sz="48" w:space="4" w:color="403152" w:themeColor="accent4" w:themeShade="80"/>
        </w:pBdr>
        <w:rPr>
          <w:rFonts w:ascii="Arial" w:hAnsi="Arial" w:cs="Arial"/>
          <w:i/>
        </w:rPr>
      </w:pPr>
      <w:r>
        <w:rPr>
          <w:rFonts w:ascii="Arial" w:hAnsi="Arial" w:cs="Arial"/>
          <w:i/>
        </w:rPr>
        <w:t>“My sisters life is incomparable with her existence at Ridge Hill her physical health but more importantly her mental health has been hugely promoted by the environment and the stimulating circumstance she now experiences, at this late stage in life, her ability to relax in an un-threatened way has enabled her to trust her carers and develop friendships and share a loving bond with those around her. As a result she now shows a far greater capability than many people thought possible. She loves to do things for herself and take pride in herself as well as a domestic a social life. She is very happy – and deserves to be.</w:t>
      </w:r>
      <w:r w:rsidR="00E705AA">
        <w:rPr>
          <w:rFonts w:ascii="Arial" w:hAnsi="Arial" w:cs="Arial"/>
          <w:i/>
        </w:rPr>
        <w:t xml:space="preserve">                        </w:t>
      </w:r>
      <w:r>
        <w:rPr>
          <w:rFonts w:ascii="Arial" w:hAnsi="Arial" w:cs="Arial"/>
          <w:i/>
        </w:rPr>
        <w:t>Seeing my sister comfortable</w:t>
      </w:r>
      <w:r w:rsidR="00E705AA">
        <w:rPr>
          <w:rFonts w:ascii="Arial" w:hAnsi="Arial" w:cs="Arial"/>
          <w:i/>
        </w:rPr>
        <w:t xml:space="preserve">, </w:t>
      </w:r>
      <w:r>
        <w:rPr>
          <w:rFonts w:ascii="Arial" w:hAnsi="Arial" w:cs="Arial"/>
          <w:i/>
        </w:rPr>
        <w:t xml:space="preserve">happy, secure and well cared for, has given myself and the family a huge sense of relief and satisfaction it has given </w:t>
      </w:r>
      <w:r>
        <w:rPr>
          <w:rFonts w:ascii="Arial" w:hAnsi="Arial" w:cs="Arial"/>
          <w:i/>
          <w:u w:val="single"/>
        </w:rPr>
        <w:t xml:space="preserve">us </w:t>
      </w:r>
      <w:r>
        <w:rPr>
          <w:rFonts w:ascii="Arial" w:hAnsi="Arial" w:cs="Arial"/>
          <w:i/>
        </w:rPr>
        <w:t>a new lease of life”</w:t>
      </w:r>
    </w:p>
    <w:p w:rsidR="00594D1F" w:rsidRDefault="00594D1F" w:rsidP="00E705AA">
      <w:pPr>
        <w:pBdr>
          <w:top w:val="single" w:sz="48" w:space="1" w:color="403152" w:themeColor="accent4" w:themeShade="80"/>
          <w:left w:val="single" w:sz="48" w:space="4" w:color="403152" w:themeColor="accent4" w:themeShade="80"/>
        </w:pBdr>
        <w:rPr>
          <w:rFonts w:ascii="Arial" w:hAnsi="Arial" w:cs="Arial"/>
          <w:i/>
        </w:rPr>
      </w:pPr>
    </w:p>
    <w:p w:rsidR="00E64323" w:rsidRPr="00CB293D" w:rsidRDefault="00E705AA" w:rsidP="00E705AA">
      <w:pPr>
        <w:pBdr>
          <w:top w:val="single" w:sz="48" w:space="1" w:color="403152" w:themeColor="accent4" w:themeShade="80"/>
          <w:left w:val="single" w:sz="48" w:space="4" w:color="403152" w:themeColor="accent4" w:themeShade="80"/>
        </w:pBdr>
        <w:rPr>
          <w:rFonts w:ascii="Arial" w:hAnsi="Arial" w:cs="Arial"/>
        </w:rPr>
      </w:pPr>
      <w:r w:rsidRPr="00E705AA">
        <w:rPr>
          <w:rFonts w:ascii="Arial" w:hAnsi="Arial" w:cs="Arial"/>
          <w:b/>
        </w:rPr>
        <w:t>Gill Hammett /Dudley Advocacy</w:t>
      </w:r>
      <w:r>
        <w:rPr>
          <w:rFonts w:ascii="Arial" w:hAnsi="Arial" w:cs="Arial"/>
          <w:b/>
        </w:rPr>
        <w:t>/</w:t>
      </w:r>
      <w:r w:rsidRPr="00E705AA">
        <w:rPr>
          <w:rFonts w:ascii="Arial" w:hAnsi="Arial" w:cs="Arial"/>
          <w:b/>
        </w:rPr>
        <w:t>April 2013</w:t>
      </w:r>
    </w:p>
    <w:sectPr w:rsidR="00E64323" w:rsidRPr="00CB293D" w:rsidSect="004762C3">
      <w:footerReference w:type="default" r:id="rId22"/>
      <w:pgSz w:w="11906" w:h="16838"/>
      <w:pgMar w:top="1440" w:right="1440" w:bottom="1440" w:left="1440" w:header="708" w:footer="708" w:gutter="0"/>
      <w:pgBorders w:offsetFrom="page">
        <w:lef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3E" w:rsidRDefault="00FD3B3E" w:rsidP="00086FDE">
      <w:pPr>
        <w:spacing w:after="0" w:line="240" w:lineRule="auto"/>
      </w:pPr>
      <w:r>
        <w:separator/>
      </w:r>
    </w:p>
  </w:endnote>
  <w:endnote w:type="continuationSeparator" w:id="0">
    <w:p w:rsidR="00FD3B3E" w:rsidRDefault="00FD3B3E" w:rsidP="0008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525430"/>
      <w:docPartObj>
        <w:docPartGallery w:val="Page Numbers (Bottom of Page)"/>
        <w:docPartUnique/>
      </w:docPartObj>
    </w:sdtPr>
    <w:sdtEndPr>
      <w:rPr>
        <w:noProof/>
      </w:rPr>
    </w:sdtEndPr>
    <w:sdtContent>
      <w:p w:rsidR="00086FDE" w:rsidRDefault="00086FDE">
        <w:pPr>
          <w:pStyle w:val="Footer"/>
          <w:jc w:val="right"/>
        </w:pPr>
        <w:r>
          <w:fldChar w:fldCharType="begin"/>
        </w:r>
        <w:r>
          <w:instrText xml:space="preserve"> PAGE   \* MERGEFORMAT </w:instrText>
        </w:r>
        <w:r>
          <w:fldChar w:fldCharType="separate"/>
        </w:r>
        <w:r w:rsidR="00263A85">
          <w:rPr>
            <w:noProof/>
          </w:rPr>
          <w:t>4</w:t>
        </w:r>
        <w:r>
          <w:rPr>
            <w:noProof/>
          </w:rPr>
          <w:fldChar w:fldCharType="end"/>
        </w:r>
      </w:p>
    </w:sdtContent>
  </w:sdt>
  <w:p w:rsidR="00086FDE" w:rsidRDefault="00086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3E" w:rsidRDefault="00FD3B3E" w:rsidP="00086FDE">
      <w:pPr>
        <w:spacing w:after="0" w:line="240" w:lineRule="auto"/>
      </w:pPr>
      <w:r>
        <w:separator/>
      </w:r>
    </w:p>
  </w:footnote>
  <w:footnote w:type="continuationSeparator" w:id="0">
    <w:p w:rsidR="00FD3B3E" w:rsidRDefault="00FD3B3E" w:rsidP="00086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C3"/>
    <w:rsid w:val="00011D11"/>
    <w:rsid w:val="00017228"/>
    <w:rsid w:val="000302D1"/>
    <w:rsid w:val="00065F48"/>
    <w:rsid w:val="0007215D"/>
    <w:rsid w:val="00086FDE"/>
    <w:rsid w:val="0009559B"/>
    <w:rsid w:val="000A34A9"/>
    <w:rsid w:val="000F646B"/>
    <w:rsid w:val="001012C5"/>
    <w:rsid w:val="001105CC"/>
    <w:rsid w:val="00117BD3"/>
    <w:rsid w:val="001523D9"/>
    <w:rsid w:val="001847AE"/>
    <w:rsid w:val="001B59DF"/>
    <w:rsid w:val="001C651E"/>
    <w:rsid w:val="00263A85"/>
    <w:rsid w:val="00264AEF"/>
    <w:rsid w:val="0027203D"/>
    <w:rsid w:val="00290A71"/>
    <w:rsid w:val="002949AA"/>
    <w:rsid w:val="002A0039"/>
    <w:rsid w:val="00345BB9"/>
    <w:rsid w:val="00372C1F"/>
    <w:rsid w:val="00376BB5"/>
    <w:rsid w:val="00380092"/>
    <w:rsid w:val="003B39BF"/>
    <w:rsid w:val="003D43DB"/>
    <w:rsid w:val="0040712D"/>
    <w:rsid w:val="0046671C"/>
    <w:rsid w:val="00466A96"/>
    <w:rsid w:val="004720FA"/>
    <w:rsid w:val="004762C3"/>
    <w:rsid w:val="00483DBB"/>
    <w:rsid w:val="004B6C8B"/>
    <w:rsid w:val="004C471D"/>
    <w:rsid w:val="004D0225"/>
    <w:rsid w:val="004E0CB3"/>
    <w:rsid w:val="00510759"/>
    <w:rsid w:val="00520B45"/>
    <w:rsid w:val="00525182"/>
    <w:rsid w:val="00527EF3"/>
    <w:rsid w:val="00551FD7"/>
    <w:rsid w:val="00594D1F"/>
    <w:rsid w:val="005E4793"/>
    <w:rsid w:val="005F5656"/>
    <w:rsid w:val="006276F2"/>
    <w:rsid w:val="0063470D"/>
    <w:rsid w:val="00653D99"/>
    <w:rsid w:val="00680BF1"/>
    <w:rsid w:val="006B1F87"/>
    <w:rsid w:val="006D544A"/>
    <w:rsid w:val="006D7AF6"/>
    <w:rsid w:val="0073548C"/>
    <w:rsid w:val="007623BC"/>
    <w:rsid w:val="00786AC2"/>
    <w:rsid w:val="007E1CDB"/>
    <w:rsid w:val="00841BD1"/>
    <w:rsid w:val="00841CB9"/>
    <w:rsid w:val="00853EEE"/>
    <w:rsid w:val="00854712"/>
    <w:rsid w:val="00860759"/>
    <w:rsid w:val="00866327"/>
    <w:rsid w:val="00884197"/>
    <w:rsid w:val="008A1273"/>
    <w:rsid w:val="009022AD"/>
    <w:rsid w:val="00944625"/>
    <w:rsid w:val="009537C0"/>
    <w:rsid w:val="0097459C"/>
    <w:rsid w:val="0098493D"/>
    <w:rsid w:val="00990040"/>
    <w:rsid w:val="009B6D76"/>
    <w:rsid w:val="009B726E"/>
    <w:rsid w:val="00A030DE"/>
    <w:rsid w:val="00A147EA"/>
    <w:rsid w:val="00A1651F"/>
    <w:rsid w:val="00A527E4"/>
    <w:rsid w:val="00A555E2"/>
    <w:rsid w:val="00A674F2"/>
    <w:rsid w:val="00A7428A"/>
    <w:rsid w:val="00A75510"/>
    <w:rsid w:val="00A90280"/>
    <w:rsid w:val="00AA5EC1"/>
    <w:rsid w:val="00AD370D"/>
    <w:rsid w:val="00AE0353"/>
    <w:rsid w:val="00AE7C9B"/>
    <w:rsid w:val="00B303F6"/>
    <w:rsid w:val="00B50871"/>
    <w:rsid w:val="00B74D20"/>
    <w:rsid w:val="00B90444"/>
    <w:rsid w:val="00BD05B0"/>
    <w:rsid w:val="00BE0536"/>
    <w:rsid w:val="00C276EB"/>
    <w:rsid w:val="00C40855"/>
    <w:rsid w:val="00C40997"/>
    <w:rsid w:val="00C610BB"/>
    <w:rsid w:val="00C9627D"/>
    <w:rsid w:val="00CA343A"/>
    <w:rsid w:val="00CB293D"/>
    <w:rsid w:val="00CB4378"/>
    <w:rsid w:val="00CD16EC"/>
    <w:rsid w:val="00CE1ECB"/>
    <w:rsid w:val="00CF68B3"/>
    <w:rsid w:val="00D06548"/>
    <w:rsid w:val="00D272C7"/>
    <w:rsid w:val="00D3099D"/>
    <w:rsid w:val="00D45DA7"/>
    <w:rsid w:val="00D60EE6"/>
    <w:rsid w:val="00D72D9E"/>
    <w:rsid w:val="00D9775E"/>
    <w:rsid w:val="00DB0BFC"/>
    <w:rsid w:val="00DC1017"/>
    <w:rsid w:val="00DD576B"/>
    <w:rsid w:val="00DE3BC1"/>
    <w:rsid w:val="00E0750C"/>
    <w:rsid w:val="00E44051"/>
    <w:rsid w:val="00E47696"/>
    <w:rsid w:val="00E47FF0"/>
    <w:rsid w:val="00E53753"/>
    <w:rsid w:val="00E57340"/>
    <w:rsid w:val="00E64323"/>
    <w:rsid w:val="00E7002E"/>
    <w:rsid w:val="00E705AA"/>
    <w:rsid w:val="00E859C7"/>
    <w:rsid w:val="00EB1401"/>
    <w:rsid w:val="00EF4658"/>
    <w:rsid w:val="00F00144"/>
    <w:rsid w:val="00F361D0"/>
    <w:rsid w:val="00F3748E"/>
    <w:rsid w:val="00F555E7"/>
    <w:rsid w:val="00F60FC2"/>
    <w:rsid w:val="00F72B4D"/>
    <w:rsid w:val="00F81715"/>
    <w:rsid w:val="00F8188A"/>
    <w:rsid w:val="00FB36D4"/>
    <w:rsid w:val="00FB5D0D"/>
    <w:rsid w:val="00FC091B"/>
    <w:rsid w:val="00FD3B3E"/>
    <w:rsid w:val="00FE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2C3"/>
    <w:rPr>
      <w:rFonts w:ascii="Tahoma" w:hAnsi="Tahoma" w:cs="Tahoma"/>
      <w:sz w:val="16"/>
      <w:szCs w:val="16"/>
    </w:rPr>
  </w:style>
  <w:style w:type="paragraph" w:styleId="ListParagraph">
    <w:name w:val="List Paragraph"/>
    <w:basedOn w:val="Normal"/>
    <w:uiPriority w:val="34"/>
    <w:qFormat/>
    <w:rsid w:val="0046671C"/>
    <w:pPr>
      <w:ind w:left="720"/>
      <w:contextualSpacing/>
    </w:pPr>
  </w:style>
  <w:style w:type="paragraph" w:styleId="Header">
    <w:name w:val="header"/>
    <w:basedOn w:val="Normal"/>
    <w:link w:val="HeaderChar"/>
    <w:uiPriority w:val="99"/>
    <w:unhideWhenUsed/>
    <w:rsid w:val="00086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FDE"/>
  </w:style>
  <w:style w:type="paragraph" w:styleId="Footer">
    <w:name w:val="footer"/>
    <w:basedOn w:val="Normal"/>
    <w:link w:val="FooterChar"/>
    <w:uiPriority w:val="99"/>
    <w:unhideWhenUsed/>
    <w:rsid w:val="00086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2C3"/>
    <w:rPr>
      <w:rFonts w:ascii="Tahoma" w:hAnsi="Tahoma" w:cs="Tahoma"/>
      <w:sz w:val="16"/>
      <w:szCs w:val="16"/>
    </w:rPr>
  </w:style>
  <w:style w:type="paragraph" w:styleId="ListParagraph">
    <w:name w:val="List Paragraph"/>
    <w:basedOn w:val="Normal"/>
    <w:uiPriority w:val="34"/>
    <w:qFormat/>
    <w:rsid w:val="0046671C"/>
    <w:pPr>
      <w:ind w:left="720"/>
      <w:contextualSpacing/>
    </w:pPr>
  </w:style>
  <w:style w:type="paragraph" w:styleId="Header">
    <w:name w:val="header"/>
    <w:basedOn w:val="Normal"/>
    <w:link w:val="HeaderChar"/>
    <w:uiPriority w:val="99"/>
    <w:unhideWhenUsed/>
    <w:rsid w:val="00086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FDE"/>
  </w:style>
  <w:style w:type="paragraph" w:styleId="Footer">
    <w:name w:val="footer"/>
    <w:basedOn w:val="Normal"/>
    <w:link w:val="FooterChar"/>
    <w:uiPriority w:val="99"/>
    <w:unhideWhenUsed/>
    <w:rsid w:val="00086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microsoft.com/office/2007/relationships/stylesWithEffects" Target="stylesWithEffect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Community Life at Ridge Hill</a:t>
            </a:r>
          </a:p>
        </c:rich>
      </c:tx>
      <c:layout>
        <c:manualLayout>
          <c:xMode val="edge"/>
          <c:yMode val="edge"/>
          <c:x val="0.13249989584635255"/>
          <c:y val="0.13071895424836602"/>
        </c:manualLayout>
      </c:layout>
      <c:overlay val="0"/>
    </c:title>
    <c:autoTitleDeleted val="0"/>
    <c:plotArea>
      <c:layout>
        <c:manualLayout>
          <c:layoutTarget val="inner"/>
          <c:xMode val="edge"/>
          <c:yMode val="edge"/>
          <c:x val="0.13133837436987042"/>
          <c:y val="0.36199359717509916"/>
          <c:w val="0.73278944298629334"/>
          <c:h val="0.52884890849710653"/>
        </c:manualLayout>
      </c:layout>
      <c:areaChart>
        <c:grouping val="stacked"/>
        <c:varyColors val="0"/>
        <c:ser>
          <c:idx val="0"/>
          <c:order val="0"/>
          <c:val>
            <c:numRef>
              <c:f>Sheet1!$L$4:$L$26</c:f>
              <c:numCache>
                <c:formatCode>General</c:formatCode>
                <c:ptCount val="23"/>
                <c:pt idx="0">
                  <c:v>1</c:v>
                </c:pt>
                <c:pt idx="1">
                  <c:v>2</c:v>
                </c:pt>
                <c:pt idx="2">
                  <c:v>1</c:v>
                </c:pt>
                <c:pt idx="3">
                  <c:v>3</c:v>
                </c:pt>
                <c:pt idx="4">
                  <c:v>4</c:v>
                </c:pt>
                <c:pt idx="5">
                  <c:v>3</c:v>
                </c:pt>
                <c:pt idx="6">
                  <c:v>3</c:v>
                </c:pt>
                <c:pt idx="7">
                  <c:v>2</c:v>
                </c:pt>
                <c:pt idx="8">
                  <c:v>1</c:v>
                </c:pt>
                <c:pt idx="9">
                  <c:v>2</c:v>
                </c:pt>
                <c:pt idx="12">
                  <c:v>1</c:v>
                </c:pt>
                <c:pt idx="13">
                  <c:v>2</c:v>
                </c:pt>
                <c:pt idx="14">
                  <c:v>2</c:v>
                </c:pt>
                <c:pt idx="15">
                  <c:v>2</c:v>
                </c:pt>
                <c:pt idx="16">
                  <c:v>2</c:v>
                </c:pt>
                <c:pt idx="17">
                  <c:v>1</c:v>
                </c:pt>
                <c:pt idx="18">
                  <c:v>2</c:v>
                </c:pt>
                <c:pt idx="19">
                  <c:v>3</c:v>
                </c:pt>
                <c:pt idx="20">
                  <c:v>2</c:v>
                </c:pt>
                <c:pt idx="21">
                  <c:v>2</c:v>
                </c:pt>
                <c:pt idx="22">
                  <c:v>2</c:v>
                </c:pt>
              </c:numCache>
            </c:numRef>
          </c:val>
        </c:ser>
        <c:dLbls>
          <c:showLegendKey val="0"/>
          <c:showVal val="0"/>
          <c:showCatName val="0"/>
          <c:showSerName val="0"/>
          <c:showPercent val="0"/>
          <c:showBubbleSize val="0"/>
        </c:dLbls>
        <c:axId val="94276992"/>
        <c:axId val="94286976"/>
      </c:areaChart>
      <c:catAx>
        <c:axId val="94276992"/>
        <c:scaling>
          <c:orientation val="minMax"/>
        </c:scaling>
        <c:delete val="0"/>
        <c:axPos val="b"/>
        <c:majorTickMark val="none"/>
        <c:minorTickMark val="none"/>
        <c:tickLblPos val="nextTo"/>
        <c:crossAx val="94286976"/>
        <c:crosses val="autoZero"/>
        <c:auto val="1"/>
        <c:lblAlgn val="ctr"/>
        <c:lblOffset val="100"/>
        <c:noMultiLvlLbl val="0"/>
      </c:catAx>
      <c:valAx>
        <c:axId val="94286976"/>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94276992"/>
        <c:crosses val="autoZero"/>
        <c:crossBetween val="midCat"/>
      </c:valAx>
    </c:plotArea>
    <c:plotVisOnly val="1"/>
    <c:dispBlanksAs val="zero"/>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168079615048119"/>
          <c:y val="0.19480351414406533"/>
          <c:w val="0.77744203849518811"/>
          <c:h val="0.68921660834062404"/>
        </c:manualLayout>
      </c:layout>
      <c:areaChart>
        <c:grouping val="stacked"/>
        <c:varyColors val="0"/>
        <c:ser>
          <c:idx val="0"/>
          <c:order val="0"/>
          <c:tx>
            <c:strRef>
              <c:f>Sheet1!$W$3</c:f>
              <c:strCache>
                <c:ptCount val="1"/>
              </c:strCache>
            </c:strRef>
          </c:tx>
          <c:val>
            <c:numRef>
              <c:f>Sheet1!$W$4:$W$26</c:f>
              <c:numCache>
                <c:formatCode>General</c:formatCode>
                <c:ptCount val="23"/>
                <c:pt idx="0">
                  <c:v>5</c:v>
                </c:pt>
                <c:pt idx="1">
                  <c:v>4</c:v>
                </c:pt>
                <c:pt idx="2">
                  <c:v>5</c:v>
                </c:pt>
                <c:pt idx="3">
                  <c:v>4</c:v>
                </c:pt>
                <c:pt idx="4">
                  <c:v>3</c:v>
                </c:pt>
                <c:pt idx="5">
                  <c:v>5</c:v>
                </c:pt>
                <c:pt idx="6">
                  <c:v>4</c:v>
                </c:pt>
                <c:pt idx="7">
                  <c:v>4</c:v>
                </c:pt>
                <c:pt idx="8">
                  <c:v>5</c:v>
                </c:pt>
                <c:pt idx="9">
                  <c:v>5</c:v>
                </c:pt>
                <c:pt idx="12">
                  <c:v>5</c:v>
                </c:pt>
                <c:pt idx="13">
                  <c:v>5</c:v>
                </c:pt>
                <c:pt idx="14">
                  <c:v>4</c:v>
                </c:pt>
                <c:pt idx="15">
                  <c:v>4</c:v>
                </c:pt>
                <c:pt idx="16">
                  <c:v>4</c:v>
                </c:pt>
                <c:pt idx="17">
                  <c:v>5</c:v>
                </c:pt>
                <c:pt idx="18">
                  <c:v>4</c:v>
                </c:pt>
                <c:pt idx="19">
                  <c:v>4</c:v>
                </c:pt>
                <c:pt idx="20">
                  <c:v>5</c:v>
                </c:pt>
                <c:pt idx="21">
                  <c:v>5</c:v>
                </c:pt>
                <c:pt idx="22">
                  <c:v>4</c:v>
                </c:pt>
              </c:numCache>
            </c:numRef>
          </c:val>
        </c:ser>
        <c:dLbls>
          <c:showLegendKey val="0"/>
          <c:showVal val="0"/>
          <c:showCatName val="0"/>
          <c:showSerName val="0"/>
          <c:showPercent val="0"/>
          <c:showBubbleSize val="0"/>
        </c:dLbls>
        <c:axId val="107501056"/>
        <c:axId val="107502592"/>
      </c:areaChart>
      <c:catAx>
        <c:axId val="107501056"/>
        <c:scaling>
          <c:orientation val="minMax"/>
        </c:scaling>
        <c:delete val="0"/>
        <c:axPos val="b"/>
        <c:majorTickMark val="none"/>
        <c:minorTickMark val="none"/>
        <c:tickLblPos val="nextTo"/>
        <c:crossAx val="107502592"/>
        <c:crosses val="autoZero"/>
        <c:auto val="1"/>
        <c:lblAlgn val="ctr"/>
        <c:lblOffset val="100"/>
        <c:noMultiLvlLbl val="0"/>
      </c:catAx>
      <c:valAx>
        <c:axId val="107502592"/>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501056"/>
        <c:crosses val="autoZero"/>
        <c:crossBetween val="midCat"/>
      </c:valAx>
    </c:plotArea>
    <c:plotVisOnly val="1"/>
    <c:dispBlanksAs val="zero"/>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2962377418227422"/>
          <c:y val="0.37736795099359188"/>
          <c:w val="0.7684062827655681"/>
          <c:h val="0.50745207441322315"/>
        </c:manualLayout>
      </c:layout>
      <c:areaChart>
        <c:grouping val="stacked"/>
        <c:varyColors val="0"/>
        <c:ser>
          <c:idx val="0"/>
          <c:order val="0"/>
          <c:tx>
            <c:strRef>
              <c:f>Sheet1!$T$3</c:f>
              <c:strCache>
                <c:ptCount val="1"/>
              </c:strCache>
            </c:strRef>
          </c:tx>
          <c:val>
            <c:numRef>
              <c:f>Sheet1!$T$4:$T$26</c:f>
              <c:numCache>
                <c:formatCode>General</c:formatCode>
                <c:ptCount val="23"/>
                <c:pt idx="0">
                  <c:v>3</c:v>
                </c:pt>
                <c:pt idx="1">
                  <c:v>3</c:v>
                </c:pt>
                <c:pt idx="2">
                  <c:v>3</c:v>
                </c:pt>
                <c:pt idx="3">
                  <c:v>2</c:v>
                </c:pt>
                <c:pt idx="4">
                  <c:v>2</c:v>
                </c:pt>
                <c:pt idx="5">
                  <c:v>3</c:v>
                </c:pt>
                <c:pt idx="6">
                  <c:v>2</c:v>
                </c:pt>
                <c:pt idx="7">
                  <c:v>2</c:v>
                </c:pt>
                <c:pt idx="8">
                  <c:v>1</c:v>
                </c:pt>
                <c:pt idx="9">
                  <c:v>3</c:v>
                </c:pt>
                <c:pt idx="12">
                  <c:v>4</c:v>
                </c:pt>
                <c:pt idx="13">
                  <c:v>3</c:v>
                </c:pt>
                <c:pt idx="14">
                  <c:v>2</c:v>
                </c:pt>
                <c:pt idx="15">
                  <c:v>3</c:v>
                </c:pt>
                <c:pt idx="16">
                  <c:v>3</c:v>
                </c:pt>
                <c:pt idx="17">
                  <c:v>1</c:v>
                </c:pt>
                <c:pt idx="18">
                  <c:v>3</c:v>
                </c:pt>
                <c:pt idx="19">
                  <c:v>3</c:v>
                </c:pt>
                <c:pt idx="20">
                  <c:v>3</c:v>
                </c:pt>
                <c:pt idx="21">
                  <c:v>3</c:v>
                </c:pt>
                <c:pt idx="22">
                  <c:v>2</c:v>
                </c:pt>
              </c:numCache>
            </c:numRef>
          </c:val>
        </c:ser>
        <c:dLbls>
          <c:showLegendKey val="0"/>
          <c:showVal val="0"/>
          <c:showCatName val="0"/>
          <c:showSerName val="0"/>
          <c:showPercent val="0"/>
          <c:showBubbleSize val="0"/>
        </c:dLbls>
        <c:axId val="107687296"/>
        <c:axId val="107709568"/>
      </c:areaChart>
      <c:catAx>
        <c:axId val="107687296"/>
        <c:scaling>
          <c:orientation val="minMax"/>
        </c:scaling>
        <c:delete val="0"/>
        <c:axPos val="b"/>
        <c:majorTickMark val="none"/>
        <c:minorTickMark val="none"/>
        <c:tickLblPos val="nextTo"/>
        <c:crossAx val="107709568"/>
        <c:crosses val="autoZero"/>
        <c:auto val="1"/>
        <c:lblAlgn val="ctr"/>
        <c:lblOffset val="100"/>
        <c:noMultiLvlLbl val="0"/>
      </c:catAx>
      <c:valAx>
        <c:axId val="107709568"/>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687296"/>
        <c:crosses val="autoZero"/>
        <c:crossBetween val="midCat"/>
      </c:valAx>
    </c:plotArea>
    <c:plotVisOnly val="1"/>
    <c:dispBlanksAs val="zero"/>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1520785244310215"/>
          <c:y val="0.19708451305223662"/>
          <c:w val="0.76679214755689784"/>
          <c:h val="0.68557757451637513"/>
        </c:manualLayout>
      </c:layout>
      <c:areaChart>
        <c:grouping val="stacked"/>
        <c:varyColors val="0"/>
        <c:ser>
          <c:idx val="0"/>
          <c:order val="0"/>
          <c:tx>
            <c:strRef>
              <c:f>Sheet1!$U$3</c:f>
              <c:strCache>
                <c:ptCount val="1"/>
              </c:strCache>
            </c:strRef>
          </c:tx>
          <c:val>
            <c:numRef>
              <c:f>Sheet1!$U$4:$U$26</c:f>
              <c:numCache>
                <c:formatCode>General</c:formatCode>
                <c:ptCount val="23"/>
                <c:pt idx="0">
                  <c:v>4</c:v>
                </c:pt>
                <c:pt idx="1">
                  <c:v>4</c:v>
                </c:pt>
                <c:pt idx="2">
                  <c:v>4</c:v>
                </c:pt>
                <c:pt idx="3">
                  <c:v>4</c:v>
                </c:pt>
                <c:pt idx="4">
                  <c:v>4</c:v>
                </c:pt>
                <c:pt idx="5">
                  <c:v>5</c:v>
                </c:pt>
                <c:pt idx="6">
                  <c:v>4</c:v>
                </c:pt>
                <c:pt idx="7">
                  <c:v>4</c:v>
                </c:pt>
                <c:pt idx="8">
                  <c:v>5</c:v>
                </c:pt>
                <c:pt idx="9">
                  <c:v>4</c:v>
                </c:pt>
                <c:pt idx="12">
                  <c:v>5</c:v>
                </c:pt>
                <c:pt idx="13">
                  <c:v>4</c:v>
                </c:pt>
                <c:pt idx="14">
                  <c:v>3</c:v>
                </c:pt>
                <c:pt idx="15">
                  <c:v>4</c:v>
                </c:pt>
                <c:pt idx="16">
                  <c:v>4</c:v>
                </c:pt>
                <c:pt idx="17">
                  <c:v>5</c:v>
                </c:pt>
                <c:pt idx="18">
                  <c:v>4</c:v>
                </c:pt>
                <c:pt idx="19">
                  <c:v>4</c:v>
                </c:pt>
                <c:pt idx="20">
                  <c:v>4</c:v>
                </c:pt>
                <c:pt idx="21">
                  <c:v>4</c:v>
                </c:pt>
                <c:pt idx="22">
                  <c:v>4</c:v>
                </c:pt>
              </c:numCache>
            </c:numRef>
          </c:val>
        </c:ser>
        <c:dLbls>
          <c:showLegendKey val="0"/>
          <c:showVal val="0"/>
          <c:showCatName val="0"/>
          <c:showSerName val="0"/>
          <c:showPercent val="0"/>
          <c:showBubbleSize val="0"/>
        </c:dLbls>
        <c:axId val="107767296"/>
        <c:axId val="107768832"/>
      </c:areaChart>
      <c:catAx>
        <c:axId val="107767296"/>
        <c:scaling>
          <c:orientation val="minMax"/>
        </c:scaling>
        <c:delete val="0"/>
        <c:axPos val="b"/>
        <c:majorTickMark val="none"/>
        <c:minorTickMark val="none"/>
        <c:tickLblPos val="nextTo"/>
        <c:crossAx val="107768832"/>
        <c:crosses val="autoZero"/>
        <c:auto val="1"/>
        <c:lblAlgn val="ctr"/>
        <c:lblOffset val="100"/>
        <c:noMultiLvlLbl val="0"/>
      </c:catAx>
      <c:valAx>
        <c:axId val="107768832"/>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767296"/>
        <c:crosses val="autoZero"/>
        <c:crossBetween val="midCat"/>
      </c:valAx>
    </c:plotArea>
    <c:plotVisOnly val="1"/>
    <c:dispBlanksAs val="zero"/>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3790529308836397"/>
          <c:y val="0.34295166229221352"/>
          <c:w val="0.75361001749781276"/>
          <c:h val="0.5410684601924759"/>
        </c:manualLayout>
      </c:layout>
      <c:areaChart>
        <c:grouping val="stacked"/>
        <c:varyColors val="0"/>
        <c:ser>
          <c:idx val="0"/>
          <c:order val="0"/>
          <c:tx>
            <c:strRef>
              <c:f>Sheet1!$X$3</c:f>
              <c:strCache>
                <c:ptCount val="1"/>
              </c:strCache>
            </c:strRef>
          </c:tx>
          <c:val>
            <c:numRef>
              <c:f>Sheet1!$X$4:$X$26</c:f>
              <c:numCache>
                <c:formatCode>General</c:formatCode>
                <c:ptCount val="23"/>
                <c:pt idx="0">
                  <c:v>3</c:v>
                </c:pt>
                <c:pt idx="1">
                  <c:v>2</c:v>
                </c:pt>
                <c:pt idx="2">
                  <c:v>3</c:v>
                </c:pt>
                <c:pt idx="3">
                  <c:v>2</c:v>
                </c:pt>
                <c:pt idx="4">
                  <c:v>2</c:v>
                </c:pt>
                <c:pt idx="5">
                  <c:v>3</c:v>
                </c:pt>
                <c:pt idx="6">
                  <c:v>3</c:v>
                </c:pt>
                <c:pt idx="7">
                  <c:v>2</c:v>
                </c:pt>
                <c:pt idx="8">
                  <c:v>2</c:v>
                </c:pt>
                <c:pt idx="9">
                  <c:v>3</c:v>
                </c:pt>
                <c:pt idx="12">
                  <c:v>4</c:v>
                </c:pt>
                <c:pt idx="13">
                  <c:v>3</c:v>
                </c:pt>
                <c:pt idx="14">
                  <c:v>2</c:v>
                </c:pt>
                <c:pt idx="15">
                  <c:v>3</c:v>
                </c:pt>
                <c:pt idx="16">
                  <c:v>3</c:v>
                </c:pt>
                <c:pt idx="17">
                  <c:v>1</c:v>
                </c:pt>
                <c:pt idx="18">
                  <c:v>3</c:v>
                </c:pt>
                <c:pt idx="19">
                  <c:v>2</c:v>
                </c:pt>
                <c:pt idx="20">
                  <c:v>3</c:v>
                </c:pt>
                <c:pt idx="21">
                  <c:v>3</c:v>
                </c:pt>
                <c:pt idx="22">
                  <c:v>3</c:v>
                </c:pt>
              </c:numCache>
            </c:numRef>
          </c:val>
        </c:ser>
        <c:dLbls>
          <c:showLegendKey val="0"/>
          <c:showVal val="0"/>
          <c:showCatName val="0"/>
          <c:showSerName val="0"/>
          <c:showPercent val="0"/>
          <c:showBubbleSize val="0"/>
        </c:dLbls>
        <c:axId val="107125760"/>
        <c:axId val="107127552"/>
      </c:areaChart>
      <c:catAx>
        <c:axId val="107125760"/>
        <c:scaling>
          <c:orientation val="minMax"/>
        </c:scaling>
        <c:delete val="0"/>
        <c:axPos val="b"/>
        <c:majorTickMark val="none"/>
        <c:minorTickMark val="none"/>
        <c:tickLblPos val="nextTo"/>
        <c:crossAx val="107127552"/>
        <c:crosses val="autoZero"/>
        <c:auto val="1"/>
        <c:lblAlgn val="ctr"/>
        <c:lblOffset val="100"/>
        <c:noMultiLvlLbl val="0"/>
      </c:catAx>
      <c:valAx>
        <c:axId val="107127552"/>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125760"/>
        <c:crosses val="autoZero"/>
        <c:crossBetween val="midCat"/>
      </c:valAx>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168079615048119"/>
          <c:y val="0.19480351414406533"/>
          <c:w val="0.78577537182852142"/>
          <c:h val="0.68921660834062404"/>
        </c:manualLayout>
      </c:layout>
      <c:areaChart>
        <c:grouping val="stacked"/>
        <c:varyColors val="0"/>
        <c:ser>
          <c:idx val="0"/>
          <c:order val="0"/>
          <c:tx>
            <c:strRef>
              <c:f>Sheet1!$Y$3</c:f>
              <c:strCache>
                <c:ptCount val="1"/>
              </c:strCache>
            </c:strRef>
          </c:tx>
          <c:val>
            <c:numRef>
              <c:f>Sheet1!$Y$4:$Y$26</c:f>
              <c:numCache>
                <c:formatCode>General</c:formatCode>
                <c:ptCount val="23"/>
                <c:pt idx="0">
                  <c:v>5</c:v>
                </c:pt>
                <c:pt idx="1">
                  <c:v>3</c:v>
                </c:pt>
                <c:pt idx="2">
                  <c:v>5</c:v>
                </c:pt>
                <c:pt idx="3">
                  <c:v>4</c:v>
                </c:pt>
                <c:pt idx="4">
                  <c:v>4</c:v>
                </c:pt>
                <c:pt idx="5">
                  <c:v>4</c:v>
                </c:pt>
                <c:pt idx="6">
                  <c:v>3</c:v>
                </c:pt>
                <c:pt idx="7">
                  <c:v>4</c:v>
                </c:pt>
                <c:pt idx="8">
                  <c:v>5</c:v>
                </c:pt>
                <c:pt idx="9">
                  <c:v>5</c:v>
                </c:pt>
                <c:pt idx="12">
                  <c:v>4</c:v>
                </c:pt>
                <c:pt idx="13">
                  <c:v>4</c:v>
                </c:pt>
                <c:pt idx="14">
                  <c:v>4</c:v>
                </c:pt>
                <c:pt idx="15">
                  <c:v>4</c:v>
                </c:pt>
                <c:pt idx="16">
                  <c:v>4</c:v>
                </c:pt>
                <c:pt idx="17">
                  <c:v>5</c:v>
                </c:pt>
                <c:pt idx="18">
                  <c:v>4</c:v>
                </c:pt>
                <c:pt idx="19">
                  <c:v>5</c:v>
                </c:pt>
                <c:pt idx="20">
                  <c:v>4</c:v>
                </c:pt>
                <c:pt idx="21">
                  <c:v>4</c:v>
                </c:pt>
                <c:pt idx="22">
                  <c:v>3</c:v>
                </c:pt>
              </c:numCache>
            </c:numRef>
          </c:val>
        </c:ser>
        <c:dLbls>
          <c:showLegendKey val="0"/>
          <c:showVal val="0"/>
          <c:showCatName val="0"/>
          <c:showSerName val="0"/>
          <c:showPercent val="0"/>
          <c:showBubbleSize val="0"/>
        </c:dLbls>
        <c:axId val="109012096"/>
        <c:axId val="109013632"/>
      </c:areaChart>
      <c:catAx>
        <c:axId val="109012096"/>
        <c:scaling>
          <c:orientation val="minMax"/>
        </c:scaling>
        <c:delete val="0"/>
        <c:axPos val="b"/>
        <c:majorTickMark val="none"/>
        <c:minorTickMark val="none"/>
        <c:tickLblPos val="nextTo"/>
        <c:crossAx val="109013632"/>
        <c:crosses val="autoZero"/>
        <c:auto val="1"/>
        <c:lblAlgn val="ctr"/>
        <c:lblOffset val="100"/>
        <c:noMultiLvlLbl val="0"/>
      </c:catAx>
      <c:valAx>
        <c:axId val="109013632"/>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9012096"/>
        <c:crosses val="autoZero"/>
        <c:crossBetween val="midCat"/>
      </c:valAx>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1243547096719862"/>
          <c:y val="0.18215399739373397"/>
          <c:w val="0.76705650764242705"/>
          <c:h val="0.70939724900202783"/>
        </c:manualLayout>
      </c:layout>
      <c:areaChart>
        <c:grouping val="stacked"/>
        <c:varyColors val="0"/>
        <c:ser>
          <c:idx val="0"/>
          <c:order val="0"/>
          <c:tx>
            <c:strRef>
              <c:f>Sheet1!$M$3</c:f>
              <c:strCache>
                <c:ptCount val="1"/>
              </c:strCache>
            </c:strRef>
          </c:tx>
          <c:val>
            <c:numRef>
              <c:f>Sheet1!$M$4:$M$26</c:f>
              <c:numCache>
                <c:formatCode>General</c:formatCode>
                <c:ptCount val="23"/>
                <c:pt idx="0">
                  <c:v>2</c:v>
                </c:pt>
                <c:pt idx="1">
                  <c:v>3</c:v>
                </c:pt>
                <c:pt idx="2">
                  <c:v>5</c:v>
                </c:pt>
                <c:pt idx="3">
                  <c:v>5</c:v>
                </c:pt>
                <c:pt idx="4">
                  <c:v>3</c:v>
                </c:pt>
                <c:pt idx="5">
                  <c:v>5</c:v>
                </c:pt>
                <c:pt idx="6">
                  <c:v>4</c:v>
                </c:pt>
                <c:pt idx="7">
                  <c:v>4</c:v>
                </c:pt>
                <c:pt idx="8">
                  <c:v>4</c:v>
                </c:pt>
                <c:pt idx="9">
                  <c:v>5</c:v>
                </c:pt>
                <c:pt idx="12">
                  <c:v>4</c:v>
                </c:pt>
                <c:pt idx="13">
                  <c:v>5</c:v>
                </c:pt>
                <c:pt idx="14">
                  <c:v>3</c:v>
                </c:pt>
                <c:pt idx="15">
                  <c:v>4</c:v>
                </c:pt>
                <c:pt idx="16">
                  <c:v>4</c:v>
                </c:pt>
                <c:pt idx="17">
                  <c:v>5</c:v>
                </c:pt>
                <c:pt idx="18">
                  <c:v>4</c:v>
                </c:pt>
                <c:pt idx="19">
                  <c:v>5</c:v>
                </c:pt>
                <c:pt idx="20">
                  <c:v>4</c:v>
                </c:pt>
                <c:pt idx="21">
                  <c:v>4</c:v>
                </c:pt>
                <c:pt idx="22">
                  <c:v>4</c:v>
                </c:pt>
              </c:numCache>
            </c:numRef>
          </c:val>
        </c:ser>
        <c:dLbls>
          <c:showLegendKey val="0"/>
          <c:showVal val="0"/>
          <c:showCatName val="0"/>
          <c:showSerName val="0"/>
          <c:showPercent val="0"/>
          <c:showBubbleSize val="0"/>
        </c:dLbls>
        <c:axId val="94688768"/>
        <c:axId val="94690304"/>
      </c:areaChart>
      <c:catAx>
        <c:axId val="94688768"/>
        <c:scaling>
          <c:orientation val="minMax"/>
        </c:scaling>
        <c:delete val="0"/>
        <c:axPos val="b"/>
        <c:majorTickMark val="none"/>
        <c:minorTickMark val="none"/>
        <c:tickLblPos val="nextTo"/>
        <c:crossAx val="94690304"/>
        <c:crosses val="autoZero"/>
        <c:auto val="1"/>
        <c:lblAlgn val="ctr"/>
        <c:lblOffset val="100"/>
        <c:noMultiLvlLbl val="0"/>
      </c:catAx>
      <c:valAx>
        <c:axId val="94690304"/>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94688768"/>
        <c:crosses val="autoZero"/>
        <c:crossBetween val="midCat"/>
      </c:valAx>
    </c:plotArea>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Independence</a:t>
            </a:r>
            <a:r>
              <a:rPr lang="en-US" baseline="0"/>
              <a:t> at Ridge Hill</a:t>
            </a:r>
            <a:endParaRPr lang="en-US"/>
          </a:p>
        </c:rich>
      </c:tx>
      <c:layout>
        <c:manualLayout>
          <c:xMode val="edge"/>
          <c:yMode val="edge"/>
          <c:x val="0.13139252278504557"/>
          <c:y val="9.1051181102362211E-2"/>
        </c:manualLayout>
      </c:layout>
      <c:overlay val="0"/>
    </c:title>
    <c:autoTitleDeleted val="0"/>
    <c:plotArea>
      <c:layout>
        <c:manualLayout>
          <c:layoutTarget val="inner"/>
          <c:xMode val="edge"/>
          <c:yMode val="edge"/>
          <c:x val="0.13168675202071889"/>
          <c:y val="0.39665041869766277"/>
          <c:w val="0.73678919776937701"/>
          <c:h val="0.48601152128711184"/>
        </c:manualLayout>
      </c:layout>
      <c:areaChart>
        <c:grouping val="stacked"/>
        <c:varyColors val="0"/>
        <c:ser>
          <c:idx val="0"/>
          <c:order val="0"/>
          <c:tx>
            <c:strRef>
              <c:f>Sheet1!$N$2:$N$3</c:f>
              <c:strCache>
                <c:ptCount val="1"/>
                <c:pt idx="0">
                  <c:v>no</c:v>
                </c:pt>
              </c:strCache>
            </c:strRef>
          </c:tx>
          <c:val>
            <c:numRef>
              <c:f>Sheet1!$N$4:$N$26</c:f>
              <c:numCache>
                <c:formatCode>General</c:formatCode>
                <c:ptCount val="23"/>
                <c:pt idx="0">
                  <c:v>1</c:v>
                </c:pt>
                <c:pt idx="1">
                  <c:v>2</c:v>
                </c:pt>
                <c:pt idx="2">
                  <c:v>2</c:v>
                </c:pt>
                <c:pt idx="3">
                  <c:v>3</c:v>
                </c:pt>
                <c:pt idx="4">
                  <c:v>2</c:v>
                </c:pt>
                <c:pt idx="5">
                  <c:v>1</c:v>
                </c:pt>
                <c:pt idx="6">
                  <c:v>2</c:v>
                </c:pt>
                <c:pt idx="7">
                  <c:v>1</c:v>
                </c:pt>
                <c:pt idx="8">
                  <c:v>2</c:v>
                </c:pt>
                <c:pt idx="9">
                  <c:v>2</c:v>
                </c:pt>
                <c:pt idx="12">
                  <c:v>1</c:v>
                </c:pt>
                <c:pt idx="13">
                  <c:v>2</c:v>
                </c:pt>
                <c:pt idx="14">
                  <c:v>3</c:v>
                </c:pt>
                <c:pt idx="15">
                  <c:v>2</c:v>
                </c:pt>
                <c:pt idx="16">
                  <c:v>2</c:v>
                </c:pt>
                <c:pt idx="17">
                  <c:v>1</c:v>
                </c:pt>
                <c:pt idx="18">
                  <c:v>2</c:v>
                </c:pt>
                <c:pt idx="19">
                  <c:v>2</c:v>
                </c:pt>
                <c:pt idx="20">
                  <c:v>2</c:v>
                </c:pt>
                <c:pt idx="21">
                  <c:v>3</c:v>
                </c:pt>
                <c:pt idx="22">
                  <c:v>2</c:v>
                </c:pt>
              </c:numCache>
            </c:numRef>
          </c:val>
        </c:ser>
        <c:dLbls>
          <c:showLegendKey val="0"/>
          <c:showVal val="0"/>
          <c:showCatName val="0"/>
          <c:showSerName val="0"/>
          <c:showPercent val="0"/>
          <c:showBubbleSize val="0"/>
        </c:dLbls>
        <c:axId val="94760320"/>
        <c:axId val="94762112"/>
      </c:areaChart>
      <c:catAx>
        <c:axId val="94760320"/>
        <c:scaling>
          <c:orientation val="minMax"/>
        </c:scaling>
        <c:delete val="0"/>
        <c:axPos val="b"/>
        <c:majorTickMark val="none"/>
        <c:minorTickMark val="none"/>
        <c:tickLblPos val="nextTo"/>
        <c:crossAx val="94762112"/>
        <c:crosses val="autoZero"/>
        <c:auto val="1"/>
        <c:lblAlgn val="ctr"/>
        <c:lblOffset val="100"/>
        <c:noMultiLvlLbl val="0"/>
      </c:catAx>
      <c:valAx>
        <c:axId val="94762112"/>
        <c:scaling>
          <c:orientation val="minMax"/>
          <c:max val="5"/>
          <c:min val="0"/>
        </c:scaling>
        <c:delete val="0"/>
        <c:axPos val="l"/>
        <c:majorGridlines/>
        <c:title>
          <c:tx>
            <c:rich>
              <a:bodyPr/>
              <a:lstStyle/>
              <a:p>
                <a:pPr>
                  <a:defRPr/>
                </a:pPr>
                <a:r>
                  <a:rPr lang="en-GB"/>
                  <a:t>Score</a:t>
                </a:r>
                <a:r>
                  <a:rPr lang="en-GB" baseline="0"/>
                  <a:t> poor to great</a:t>
                </a:r>
                <a:endParaRPr lang="en-GB"/>
              </a:p>
            </c:rich>
          </c:tx>
          <c:layout>
            <c:manualLayout>
              <c:xMode val="edge"/>
              <c:yMode val="edge"/>
              <c:x val="8.7965194826837116E-3"/>
              <c:y val="0.45437047641772049"/>
            </c:manualLayout>
          </c:layout>
          <c:overlay val="0"/>
        </c:title>
        <c:numFmt formatCode="General" sourceLinked="1"/>
        <c:majorTickMark val="none"/>
        <c:minorTickMark val="none"/>
        <c:tickLblPos val="nextTo"/>
        <c:crossAx val="94760320"/>
        <c:crosses val="autoZero"/>
        <c:crossBetween val="midCat"/>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1243547096719862"/>
          <c:y val="0.19169723900158234"/>
          <c:w val="0.76438271085098319"/>
          <c:h val="0.69417226187926684"/>
        </c:manualLayout>
      </c:layout>
      <c:areaChart>
        <c:grouping val="stacked"/>
        <c:varyColors val="0"/>
        <c:ser>
          <c:idx val="0"/>
          <c:order val="0"/>
          <c:tx>
            <c:strRef>
              <c:f>Sheet1!$O$3</c:f>
              <c:strCache>
                <c:ptCount val="1"/>
              </c:strCache>
            </c:strRef>
          </c:tx>
          <c:val>
            <c:numRef>
              <c:f>Sheet1!$O$4:$O$26</c:f>
              <c:numCache>
                <c:formatCode>General</c:formatCode>
                <c:ptCount val="23"/>
                <c:pt idx="0">
                  <c:v>1</c:v>
                </c:pt>
                <c:pt idx="1">
                  <c:v>4</c:v>
                </c:pt>
                <c:pt idx="2">
                  <c:v>4</c:v>
                </c:pt>
                <c:pt idx="3">
                  <c:v>5</c:v>
                </c:pt>
                <c:pt idx="4">
                  <c:v>4</c:v>
                </c:pt>
                <c:pt idx="5">
                  <c:v>5</c:v>
                </c:pt>
                <c:pt idx="6">
                  <c:v>5</c:v>
                </c:pt>
                <c:pt idx="7">
                  <c:v>4</c:v>
                </c:pt>
                <c:pt idx="8">
                  <c:v>2</c:v>
                </c:pt>
                <c:pt idx="9">
                  <c:v>4</c:v>
                </c:pt>
                <c:pt idx="12">
                  <c:v>1</c:v>
                </c:pt>
                <c:pt idx="13">
                  <c:v>4</c:v>
                </c:pt>
                <c:pt idx="14">
                  <c:v>4</c:v>
                </c:pt>
                <c:pt idx="15">
                  <c:v>4</c:v>
                </c:pt>
                <c:pt idx="16">
                  <c:v>4</c:v>
                </c:pt>
                <c:pt idx="17">
                  <c:v>5</c:v>
                </c:pt>
                <c:pt idx="18">
                  <c:v>4</c:v>
                </c:pt>
                <c:pt idx="19">
                  <c:v>4</c:v>
                </c:pt>
                <c:pt idx="20">
                  <c:v>4</c:v>
                </c:pt>
                <c:pt idx="21">
                  <c:v>4</c:v>
                </c:pt>
                <c:pt idx="22">
                  <c:v>3</c:v>
                </c:pt>
              </c:numCache>
            </c:numRef>
          </c:val>
        </c:ser>
        <c:dLbls>
          <c:showLegendKey val="0"/>
          <c:showVal val="0"/>
          <c:showCatName val="0"/>
          <c:showSerName val="0"/>
          <c:showPercent val="0"/>
          <c:showBubbleSize val="0"/>
        </c:dLbls>
        <c:axId val="94750208"/>
        <c:axId val="94751744"/>
      </c:areaChart>
      <c:catAx>
        <c:axId val="94750208"/>
        <c:scaling>
          <c:orientation val="minMax"/>
        </c:scaling>
        <c:delete val="0"/>
        <c:axPos val="b"/>
        <c:majorTickMark val="none"/>
        <c:minorTickMark val="none"/>
        <c:tickLblPos val="nextTo"/>
        <c:crossAx val="94751744"/>
        <c:crosses val="autoZero"/>
        <c:auto val="1"/>
        <c:lblAlgn val="ctr"/>
        <c:lblOffset val="100"/>
        <c:noMultiLvlLbl val="0"/>
      </c:catAx>
      <c:valAx>
        <c:axId val="94751744"/>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94750208"/>
        <c:crosses val="autoZero"/>
        <c:crossBetween val="midCat"/>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3030421394176123"/>
          <c:y val="0.36742367117233127"/>
          <c:w val="0.76719056771446881"/>
          <c:h val="0.51468623818944392"/>
        </c:manualLayout>
      </c:layout>
      <c:areaChart>
        <c:grouping val="stacked"/>
        <c:varyColors val="0"/>
        <c:ser>
          <c:idx val="0"/>
          <c:order val="0"/>
          <c:tx>
            <c:strRef>
              <c:f>Sheet1!$P$3</c:f>
              <c:strCache>
                <c:ptCount val="1"/>
              </c:strCache>
            </c:strRef>
          </c:tx>
          <c:val>
            <c:numRef>
              <c:f>Sheet1!$P$4:$P$26</c:f>
              <c:numCache>
                <c:formatCode>General</c:formatCode>
                <c:ptCount val="23"/>
                <c:pt idx="0">
                  <c:v>1</c:v>
                </c:pt>
                <c:pt idx="1">
                  <c:v>2</c:v>
                </c:pt>
                <c:pt idx="2">
                  <c:v>2</c:v>
                </c:pt>
                <c:pt idx="3">
                  <c:v>2</c:v>
                </c:pt>
                <c:pt idx="4">
                  <c:v>3</c:v>
                </c:pt>
                <c:pt idx="5">
                  <c:v>3</c:v>
                </c:pt>
                <c:pt idx="6">
                  <c:v>3</c:v>
                </c:pt>
                <c:pt idx="7">
                  <c:v>2</c:v>
                </c:pt>
                <c:pt idx="8">
                  <c:v>2</c:v>
                </c:pt>
                <c:pt idx="9">
                  <c:v>2</c:v>
                </c:pt>
                <c:pt idx="12">
                  <c:v>1</c:v>
                </c:pt>
                <c:pt idx="13">
                  <c:v>2</c:v>
                </c:pt>
                <c:pt idx="14">
                  <c:v>3</c:v>
                </c:pt>
                <c:pt idx="15">
                  <c:v>3</c:v>
                </c:pt>
                <c:pt idx="16">
                  <c:v>3</c:v>
                </c:pt>
                <c:pt idx="17">
                  <c:v>1</c:v>
                </c:pt>
                <c:pt idx="18">
                  <c:v>3</c:v>
                </c:pt>
                <c:pt idx="19">
                  <c:v>4</c:v>
                </c:pt>
                <c:pt idx="20">
                  <c:v>2</c:v>
                </c:pt>
                <c:pt idx="21">
                  <c:v>2</c:v>
                </c:pt>
                <c:pt idx="22">
                  <c:v>3</c:v>
                </c:pt>
              </c:numCache>
            </c:numRef>
          </c:val>
        </c:ser>
        <c:dLbls>
          <c:showLegendKey val="0"/>
          <c:showVal val="0"/>
          <c:showCatName val="0"/>
          <c:showSerName val="0"/>
          <c:showPercent val="0"/>
          <c:showBubbleSize val="0"/>
        </c:dLbls>
        <c:axId val="96377856"/>
        <c:axId val="101348096"/>
      </c:areaChart>
      <c:catAx>
        <c:axId val="96377856"/>
        <c:scaling>
          <c:orientation val="minMax"/>
        </c:scaling>
        <c:delete val="0"/>
        <c:axPos val="b"/>
        <c:majorTickMark val="none"/>
        <c:minorTickMark val="none"/>
        <c:tickLblPos val="nextTo"/>
        <c:crossAx val="101348096"/>
        <c:crosses val="autoZero"/>
        <c:auto val="1"/>
        <c:lblAlgn val="ctr"/>
        <c:lblOffset val="100"/>
        <c:noMultiLvlLbl val="0"/>
      </c:catAx>
      <c:valAx>
        <c:axId val="101348096"/>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96377856"/>
        <c:crosses val="autoZero"/>
        <c:crossBetween val="midCat"/>
      </c:valAx>
    </c:plotArea>
    <c:plotVisOnly val="1"/>
    <c:dispBlanksAs val="zero"/>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2143090604240507"/>
          <c:y val="0.19514272536602939"/>
          <c:w val="0.76517286754250058"/>
          <c:h val="0.68109649649447457"/>
        </c:manualLayout>
      </c:layout>
      <c:areaChart>
        <c:grouping val="stacked"/>
        <c:varyColors val="0"/>
        <c:ser>
          <c:idx val="0"/>
          <c:order val="0"/>
          <c:tx>
            <c:strRef>
              <c:f>Sheet1!$Q$3</c:f>
              <c:strCache>
                <c:ptCount val="1"/>
              </c:strCache>
            </c:strRef>
          </c:tx>
          <c:val>
            <c:numRef>
              <c:f>Sheet1!$Q$4:$Q$26</c:f>
              <c:numCache>
                <c:formatCode>General</c:formatCode>
                <c:ptCount val="23"/>
                <c:pt idx="0">
                  <c:v>2</c:v>
                </c:pt>
                <c:pt idx="1">
                  <c:v>3</c:v>
                </c:pt>
                <c:pt idx="2">
                  <c:v>5</c:v>
                </c:pt>
                <c:pt idx="3">
                  <c:v>4</c:v>
                </c:pt>
                <c:pt idx="4">
                  <c:v>3</c:v>
                </c:pt>
                <c:pt idx="5">
                  <c:v>4</c:v>
                </c:pt>
                <c:pt idx="6">
                  <c:v>3</c:v>
                </c:pt>
                <c:pt idx="7">
                  <c:v>5</c:v>
                </c:pt>
                <c:pt idx="8">
                  <c:v>5</c:v>
                </c:pt>
                <c:pt idx="9">
                  <c:v>5</c:v>
                </c:pt>
                <c:pt idx="12">
                  <c:v>5</c:v>
                </c:pt>
                <c:pt idx="13">
                  <c:v>5</c:v>
                </c:pt>
                <c:pt idx="14">
                  <c:v>4</c:v>
                </c:pt>
                <c:pt idx="15">
                  <c:v>4</c:v>
                </c:pt>
                <c:pt idx="16">
                  <c:v>4</c:v>
                </c:pt>
                <c:pt idx="17">
                  <c:v>5</c:v>
                </c:pt>
                <c:pt idx="18">
                  <c:v>4</c:v>
                </c:pt>
                <c:pt idx="19">
                  <c:v>3</c:v>
                </c:pt>
                <c:pt idx="20">
                  <c:v>4</c:v>
                </c:pt>
                <c:pt idx="21">
                  <c:v>4</c:v>
                </c:pt>
                <c:pt idx="22">
                  <c:v>4</c:v>
                </c:pt>
              </c:numCache>
            </c:numRef>
          </c:val>
        </c:ser>
        <c:dLbls>
          <c:showLegendKey val="0"/>
          <c:showVal val="0"/>
          <c:showCatName val="0"/>
          <c:showSerName val="0"/>
          <c:showPercent val="0"/>
          <c:showBubbleSize val="0"/>
        </c:dLbls>
        <c:axId val="107197568"/>
        <c:axId val="107199104"/>
      </c:areaChart>
      <c:catAx>
        <c:axId val="107197568"/>
        <c:scaling>
          <c:orientation val="minMax"/>
        </c:scaling>
        <c:delete val="0"/>
        <c:axPos val="b"/>
        <c:majorTickMark val="none"/>
        <c:minorTickMark val="none"/>
        <c:tickLblPos val="nextTo"/>
        <c:crossAx val="107199104"/>
        <c:crosses val="autoZero"/>
        <c:auto val="1"/>
        <c:lblAlgn val="ctr"/>
        <c:lblOffset val="100"/>
        <c:noMultiLvlLbl val="0"/>
      </c:catAx>
      <c:valAx>
        <c:axId val="107199104"/>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197568"/>
        <c:crosses val="autoZero"/>
        <c:crossBetween val="midCat"/>
      </c:valAx>
    </c:plotArea>
    <c:plotVisOnly val="1"/>
    <c:dispBlanksAs val="zero"/>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2962377418227422"/>
          <c:y val="0.49223907329993483"/>
          <c:w val="0.76314384983861361"/>
          <c:h val="0.39151199681677956"/>
        </c:manualLayout>
      </c:layout>
      <c:areaChart>
        <c:grouping val="stacked"/>
        <c:varyColors val="0"/>
        <c:ser>
          <c:idx val="0"/>
          <c:order val="0"/>
          <c:tx>
            <c:strRef>
              <c:f>Sheet1!$R$3</c:f>
              <c:strCache>
                <c:ptCount val="1"/>
              </c:strCache>
            </c:strRef>
          </c:tx>
          <c:val>
            <c:numRef>
              <c:f>Sheet1!$R$4:$R$26</c:f>
              <c:numCache>
                <c:formatCode>General</c:formatCode>
                <c:ptCount val="23"/>
                <c:pt idx="0">
                  <c:v>2</c:v>
                </c:pt>
                <c:pt idx="1">
                  <c:v>2</c:v>
                </c:pt>
                <c:pt idx="2">
                  <c:v>1</c:v>
                </c:pt>
                <c:pt idx="3">
                  <c:v>2</c:v>
                </c:pt>
                <c:pt idx="4">
                  <c:v>2</c:v>
                </c:pt>
                <c:pt idx="5">
                  <c:v>1</c:v>
                </c:pt>
                <c:pt idx="6">
                  <c:v>2</c:v>
                </c:pt>
                <c:pt idx="7">
                  <c:v>1</c:v>
                </c:pt>
                <c:pt idx="8">
                  <c:v>2</c:v>
                </c:pt>
                <c:pt idx="9">
                  <c:v>2</c:v>
                </c:pt>
                <c:pt idx="12">
                  <c:v>3</c:v>
                </c:pt>
                <c:pt idx="13">
                  <c:v>1</c:v>
                </c:pt>
                <c:pt idx="14">
                  <c:v>2</c:v>
                </c:pt>
                <c:pt idx="15">
                  <c:v>2</c:v>
                </c:pt>
                <c:pt idx="16">
                  <c:v>2</c:v>
                </c:pt>
                <c:pt idx="17">
                  <c:v>1</c:v>
                </c:pt>
                <c:pt idx="18">
                  <c:v>2</c:v>
                </c:pt>
                <c:pt idx="19">
                  <c:v>2</c:v>
                </c:pt>
                <c:pt idx="20">
                  <c:v>2</c:v>
                </c:pt>
                <c:pt idx="21">
                  <c:v>2</c:v>
                </c:pt>
                <c:pt idx="22">
                  <c:v>2</c:v>
                </c:pt>
              </c:numCache>
            </c:numRef>
          </c:val>
        </c:ser>
        <c:dLbls>
          <c:showLegendKey val="0"/>
          <c:showVal val="0"/>
          <c:showCatName val="0"/>
          <c:showSerName val="0"/>
          <c:showPercent val="0"/>
          <c:showBubbleSize val="0"/>
        </c:dLbls>
        <c:axId val="107281408"/>
        <c:axId val="107356928"/>
      </c:areaChart>
      <c:catAx>
        <c:axId val="107281408"/>
        <c:scaling>
          <c:orientation val="minMax"/>
        </c:scaling>
        <c:delete val="0"/>
        <c:axPos val="b"/>
        <c:majorTickMark val="none"/>
        <c:minorTickMark val="none"/>
        <c:tickLblPos val="nextTo"/>
        <c:crossAx val="107356928"/>
        <c:crosses val="autoZero"/>
        <c:auto val="1"/>
        <c:lblAlgn val="ctr"/>
        <c:lblOffset val="100"/>
        <c:noMultiLvlLbl val="0"/>
      </c:catAx>
      <c:valAx>
        <c:axId val="107356928"/>
        <c:scaling>
          <c:orientation val="minMax"/>
        </c:scaling>
        <c:delete val="0"/>
        <c:axPos val="l"/>
        <c:majorGridlines/>
        <c:title>
          <c:tx>
            <c:rich>
              <a:bodyPr/>
              <a:lstStyle/>
              <a:p>
                <a:pPr>
                  <a:defRPr/>
                </a:pPr>
                <a:r>
                  <a:rPr lang="en-GB"/>
                  <a:t>Score</a:t>
                </a:r>
                <a:r>
                  <a:rPr lang="en-GB" baseline="0"/>
                  <a:t> poor to great </a:t>
                </a:r>
                <a:endParaRPr lang="en-GB"/>
              </a:p>
            </c:rich>
          </c:tx>
          <c:layout>
            <c:manualLayout>
              <c:xMode val="edge"/>
              <c:yMode val="edge"/>
              <c:x val="4.001090772744316E-2"/>
              <c:y val="0.39700087489063868"/>
            </c:manualLayout>
          </c:layout>
          <c:overlay val="0"/>
        </c:title>
        <c:numFmt formatCode="General" sourceLinked="1"/>
        <c:majorTickMark val="none"/>
        <c:minorTickMark val="none"/>
        <c:tickLblPos val="nextTo"/>
        <c:crossAx val="107281408"/>
        <c:crosses val="autoZero"/>
        <c:crossBetween val="midCat"/>
      </c:valAx>
    </c:plotArea>
    <c:plotVisOnly val="1"/>
    <c:dispBlanksAs val="zero"/>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0.11365098957224941"/>
          <c:y val="0.19480351414406533"/>
          <c:w val="0.76724090231964248"/>
          <c:h val="0.68921660834062404"/>
        </c:manualLayout>
      </c:layout>
      <c:areaChart>
        <c:grouping val="stacked"/>
        <c:varyColors val="0"/>
        <c:ser>
          <c:idx val="0"/>
          <c:order val="0"/>
          <c:tx>
            <c:strRef>
              <c:f>Sheet1!$S$3</c:f>
              <c:strCache>
                <c:ptCount val="1"/>
              </c:strCache>
            </c:strRef>
          </c:tx>
          <c:val>
            <c:numRef>
              <c:f>Sheet1!$S$4:$S$26</c:f>
              <c:numCache>
                <c:formatCode>General</c:formatCode>
                <c:ptCount val="23"/>
                <c:pt idx="0">
                  <c:v>4</c:v>
                </c:pt>
                <c:pt idx="1">
                  <c:v>5</c:v>
                </c:pt>
                <c:pt idx="2">
                  <c:v>5</c:v>
                </c:pt>
                <c:pt idx="3">
                  <c:v>4</c:v>
                </c:pt>
                <c:pt idx="4">
                  <c:v>4</c:v>
                </c:pt>
                <c:pt idx="5">
                  <c:v>5</c:v>
                </c:pt>
                <c:pt idx="6">
                  <c:v>4</c:v>
                </c:pt>
                <c:pt idx="7">
                  <c:v>5</c:v>
                </c:pt>
                <c:pt idx="8">
                  <c:v>4</c:v>
                </c:pt>
                <c:pt idx="9">
                  <c:v>5</c:v>
                </c:pt>
                <c:pt idx="12">
                  <c:v>4</c:v>
                </c:pt>
                <c:pt idx="13">
                  <c:v>5</c:v>
                </c:pt>
                <c:pt idx="14">
                  <c:v>3</c:v>
                </c:pt>
                <c:pt idx="15">
                  <c:v>4</c:v>
                </c:pt>
                <c:pt idx="16">
                  <c:v>4</c:v>
                </c:pt>
                <c:pt idx="17">
                  <c:v>5</c:v>
                </c:pt>
                <c:pt idx="18">
                  <c:v>4</c:v>
                </c:pt>
                <c:pt idx="19">
                  <c:v>4</c:v>
                </c:pt>
                <c:pt idx="20">
                  <c:v>5</c:v>
                </c:pt>
                <c:pt idx="21">
                  <c:v>5</c:v>
                </c:pt>
                <c:pt idx="22">
                  <c:v>4</c:v>
                </c:pt>
              </c:numCache>
            </c:numRef>
          </c:val>
        </c:ser>
        <c:dLbls>
          <c:showLegendKey val="0"/>
          <c:showVal val="0"/>
          <c:showCatName val="0"/>
          <c:showSerName val="0"/>
          <c:showPercent val="0"/>
          <c:showBubbleSize val="0"/>
        </c:dLbls>
        <c:axId val="107410560"/>
        <c:axId val="107412096"/>
      </c:areaChart>
      <c:catAx>
        <c:axId val="107410560"/>
        <c:scaling>
          <c:orientation val="minMax"/>
        </c:scaling>
        <c:delete val="0"/>
        <c:axPos val="b"/>
        <c:majorTickMark val="none"/>
        <c:minorTickMark val="none"/>
        <c:tickLblPos val="nextTo"/>
        <c:crossAx val="107412096"/>
        <c:crosses val="autoZero"/>
        <c:auto val="1"/>
        <c:lblAlgn val="ctr"/>
        <c:lblOffset val="100"/>
        <c:noMultiLvlLbl val="0"/>
      </c:catAx>
      <c:valAx>
        <c:axId val="107412096"/>
        <c:scaling>
          <c:orientation val="minMax"/>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410560"/>
        <c:crosses val="autoZero"/>
        <c:crossBetween val="midCat"/>
      </c:valAx>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3817822968979271"/>
          <c:y val="0.37998869932925056"/>
          <c:w val="0.76719056771446881"/>
          <c:h val="0.49477216389617962"/>
        </c:manualLayout>
      </c:layout>
      <c:areaChart>
        <c:grouping val="stacked"/>
        <c:varyColors val="0"/>
        <c:ser>
          <c:idx val="0"/>
          <c:order val="0"/>
          <c:tx>
            <c:strRef>
              <c:f>Sheet1!$V$3</c:f>
              <c:strCache>
                <c:ptCount val="1"/>
              </c:strCache>
            </c:strRef>
          </c:tx>
          <c:val>
            <c:numRef>
              <c:f>Sheet1!$V$4:$V$26</c:f>
              <c:numCache>
                <c:formatCode>General</c:formatCode>
                <c:ptCount val="23"/>
                <c:pt idx="0">
                  <c:v>3</c:v>
                </c:pt>
                <c:pt idx="1">
                  <c:v>2</c:v>
                </c:pt>
                <c:pt idx="2">
                  <c:v>2</c:v>
                </c:pt>
                <c:pt idx="3">
                  <c:v>2</c:v>
                </c:pt>
                <c:pt idx="4">
                  <c:v>2</c:v>
                </c:pt>
                <c:pt idx="5">
                  <c:v>1</c:v>
                </c:pt>
                <c:pt idx="6">
                  <c:v>2</c:v>
                </c:pt>
                <c:pt idx="7">
                  <c:v>2</c:v>
                </c:pt>
                <c:pt idx="8">
                  <c:v>1</c:v>
                </c:pt>
                <c:pt idx="9">
                  <c:v>3</c:v>
                </c:pt>
                <c:pt idx="12">
                  <c:v>2</c:v>
                </c:pt>
                <c:pt idx="13">
                  <c:v>2</c:v>
                </c:pt>
                <c:pt idx="14">
                  <c:v>2</c:v>
                </c:pt>
                <c:pt idx="15">
                  <c:v>2</c:v>
                </c:pt>
                <c:pt idx="16">
                  <c:v>2</c:v>
                </c:pt>
                <c:pt idx="17">
                  <c:v>1</c:v>
                </c:pt>
                <c:pt idx="18">
                  <c:v>2</c:v>
                </c:pt>
                <c:pt idx="19">
                  <c:v>4</c:v>
                </c:pt>
                <c:pt idx="20">
                  <c:v>2</c:v>
                </c:pt>
                <c:pt idx="21">
                  <c:v>2</c:v>
                </c:pt>
                <c:pt idx="22">
                  <c:v>2</c:v>
                </c:pt>
              </c:numCache>
            </c:numRef>
          </c:val>
        </c:ser>
        <c:dLbls>
          <c:showLegendKey val="0"/>
          <c:showVal val="0"/>
          <c:showCatName val="0"/>
          <c:showSerName val="0"/>
          <c:showPercent val="0"/>
          <c:showBubbleSize val="0"/>
        </c:dLbls>
        <c:axId val="107031936"/>
        <c:axId val="107041920"/>
      </c:areaChart>
      <c:catAx>
        <c:axId val="107031936"/>
        <c:scaling>
          <c:orientation val="minMax"/>
        </c:scaling>
        <c:delete val="0"/>
        <c:axPos val="b"/>
        <c:majorTickMark val="none"/>
        <c:minorTickMark val="none"/>
        <c:tickLblPos val="nextTo"/>
        <c:crossAx val="107041920"/>
        <c:crosses val="autoZero"/>
        <c:auto val="1"/>
        <c:lblAlgn val="ctr"/>
        <c:lblOffset val="100"/>
        <c:noMultiLvlLbl val="0"/>
      </c:catAx>
      <c:valAx>
        <c:axId val="107041920"/>
        <c:scaling>
          <c:orientation val="minMax"/>
          <c:max val="6"/>
          <c:min val="0"/>
        </c:scaling>
        <c:delete val="0"/>
        <c:axPos val="l"/>
        <c:majorGridlines/>
        <c:title>
          <c:tx>
            <c:rich>
              <a:bodyPr/>
              <a:lstStyle/>
              <a:p>
                <a:pPr>
                  <a:defRPr/>
                </a:pPr>
                <a:r>
                  <a:rPr lang="en-GB"/>
                  <a:t>Score</a:t>
                </a:r>
                <a:r>
                  <a:rPr lang="en-GB" baseline="0"/>
                  <a:t> poor to great</a:t>
                </a:r>
                <a:endParaRPr lang="en-GB"/>
              </a:p>
            </c:rich>
          </c:tx>
          <c:overlay val="0"/>
        </c:title>
        <c:numFmt formatCode="General" sourceLinked="1"/>
        <c:majorTickMark val="none"/>
        <c:minorTickMark val="none"/>
        <c:tickLblPos val="nextTo"/>
        <c:crossAx val="107031936"/>
        <c:crosses val="autoZero"/>
        <c:crossBetween val="midCat"/>
      </c:valAx>
    </c:plotArea>
    <c:plotVisOnly val="1"/>
    <c:dispBlanksAs val="zero"/>
    <c:showDLblsOverMax val="0"/>
  </c:chart>
  <c:externalData r:id="rId1">
    <c:autoUpdate val="0"/>
  </c:externalData>
  <c:userShapes r:id="rId2"/>
</c:chartSpace>
</file>

<file path=word/drawings/_rels/drawing10.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0.04497</cdr:x>
      <cdr:y>0.05011</cdr:y>
    </cdr:from>
    <cdr:to>
      <cdr:x>0.91005</cdr:x>
      <cdr:y>0.16776</cdr:y>
    </cdr:to>
    <cdr:sp macro="" textlink="">
      <cdr:nvSpPr>
        <cdr:cNvPr id="3" name="TextBox 2"/>
        <cdr:cNvSpPr txBox="1"/>
      </cdr:nvSpPr>
      <cdr:spPr>
        <a:xfrm xmlns:a="http://schemas.openxmlformats.org/drawingml/2006/main">
          <a:off x="215900" y="146052"/>
          <a:ext cx="41529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b="1">
            <a:latin typeface="Arial" pitchFamily="34" charset="0"/>
            <a:cs typeface="Arial" pitchFamily="34"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0.11682</cdr:x>
      <cdr:y>0</cdr:y>
    </cdr:from>
    <cdr:to>
      <cdr:x>0.6492</cdr:x>
      <cdr:y>0.22263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76250" y="-5676900"/>
          <a:ext cx="2170364" cy="487722"/>
        </a:xfrm>
        <a:prstGeom xmlns:a="http://schemas.openxmlformats.org/drawingml/2006/main" prst="rect">
          <a:avLst/>
        </a:prstGeom>
      </cdr:spPr>
    </cdr:pic>
  </cdr:relSizeAnchor>
</c:userShapes>
</file>

<file path=word/drawings/drawing11.xml><?xml version="1.0" encoding="utf-8"?>
<c:userShapes xmlns:c="http://schemas.openxmlformats.org/drawingml/2006/chart">
  <cdr:relSizeAnchor xmlns:cdr="http://schemas.openxmlformats.org/drawingml/2006/chartDrawing">
    <cdr:from>
      <cdr:x>0.13611</cdr:x>
      <cdr:y>0.04861</cdr:y>
    </cdr:from>
    <cdr:to>
      <cdr:x>0.81111</cdr:x>
      <cdr:y>0.24291</cdr:y>
    </cdr:to>
    <cdr:sp macro="" textlink="">
      <cdr:nvSpPr>
        <cdr:cNvPr id="2" name="TextBox 1"/>
        <cdr:cNvSpPr txBox="1"/>
      </cdr:nvSpPr>
      <cdr:spPr>
        <a:xfrm xmlns:a="http://schemas.openxmlformats.org/drawingml/2006/main">
          <a:off x="589884" y="114364"/>
          <a:ext cx="2925365" cy="4571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Money at Ridge Hill</a:t>
          </a:r>
        </a:p>
      </cdr:txBody>
    </cdr:sp>
  </cdr:relSizeAnchor>
</c:userShapes>
</file>

<file path=word/drawings/drawing12.xml><?xml version="1.0" encoding="utf-8"?>
<c:userShapes xmlns:c="http://schemas.openxmlformats.org/drawingml/2006/chart">
  <cdr:relSizeAnchor xmlns:cdr="http://schemas.openxmlformats.org/drawingml/2006/chartDrawing">
    <cdr:from>
      <cdr:x>0.09167</cdr:x>
      <cdr:y>0.01157</cdr:y>
    </cdr:from>
    <cdr:to>
      <cdr:x>0.81389</cdr:x>
      <cdr:y>0.15972</cdr:y>
    </cdr:to>
    <cdr:sp macro="" textlink="">
      <cdr:nvSpPr>
        <cdr:cNvPr id="2" name="TextBox 1"/>
        <cdr:cNvSpPr txBox="1"/>
      </cdr:nvSpPr>
      <cdr:spPr>
        <a:xfrm xmlns:a="http://schemas.openxmlformats.org/drawingml/2006/main">
          <a:off x="419100" y="31751"/>
          <a:ext cx="3302000" cy="406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Money now</a:t>
          </a:r>
        </a:p>
      </cdr:txBody>
    </cdr:sp>
  </cdr:relSizeAnchor>
</c:userShapes>
</file>

<file path=word/drawings/drawing2.xml><?xml version="1.0" encoding="utf-8"?>
<c:userShapes xmlns:c="http://schemas.openxmlformats.org/drawingml/2006/chart">
  <cdr:relSizeAnchor xmlns:cdr="http://schemas.openxmlformats.org/drawingml/2006/chartDrawing">
    <cdr:from>
      <cdr:x>0.1369</cdr:x>
      <cdr:y>0</cdr:y>
    </cdr:from>
    <cdr:to>
      <cdr:x>0.96578</cdr:x>
      <cdr:y>0.16818</cdr:y>
    </cdr:to>
    <cdr:sp macro="" textlink="">
      <cdr:nvSpPr>
        <cdr:cNvPr id="2" name="TextBox 1"/>
        <cdr:cNvSpPr txBox="1"/>
      </cdr:nvSpPr>
      <cdr:spPr>
        <a:xfrm xmlns:a="http://schemas.openxmlformats.org/drawingml/2006/main">
          <a:off x="584177" y="0"/>
          <a:ext cx="3536996" cy="3524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800" b="1"/>
            <a:t>Community</a:t>
          </a:r>
          <a:r>
            <a:rPr lang="en-GB" sz="1800" b="1" baseline="0"/>
            <a:t> Life Now</a:t>
          </a:r>
          <a:endParaRPr lang="en-GB" sz="1800" b="1"/>
        </a:p>
      </cdr:txBody>
    </cdr:sp>
  </cdr:relSizeAnchor>
</c:userShapes>
</file>

<file path=word/drawings/drawing3.xml><?xml version="1.0" encoding="utf-8"?>
<c:userShapes xmlns:c="http://schemas.openxmlformats.org/drawingml/2006/chart">
  <cdr:relSizeAnchor xmlns:cdr="http://schemas.openxmlformats.org/drawingml/2006/chartDrawing">
    <cdr:from>
      <cdr:x>0.12732</cdr:x>
      <cdr:y>0.03529</cdr:y>
    </cdr:from>
    <cdr:to>
      <cdr:x>0.75066</cdr:x>
      <cdr:y>0.20471</cdr:y>
    </cdr:to>
    <cdr:sp macro="" textlink="">
      <cdr:nvSpPr>
        <cdr:cNvPr id="3" name="TextBox 2"/>
        <cdr:cNvSpPr txBox="1"/>
      </cdr:nvSpPr>
      <cdr:spPr>
        <a:xfrm xmlns:a="http://schemas.openxmlformats.org/drawingml/2006/main">
          <a:off x="609600" y="95251"/>
          <a:ext cx="29845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2000" b="1"/>
            <a:t>Transport at</a:t>
          </a:r>
          <a:r>
            <a:rPr lang="en-GB" sz="2000" b="1" baseline="0"/>
            <a:t> </a:t>
          </a:r>
          <a:r>
            <a:rPr lang="en-GB" sz="1800" b="1" baseline="0"/>
            <a:t>Ridge</a:t>
          </a:r>
          <a:r>
            <a:rPr lang="en-GB" sz="2000" b="1" baseline="0"/>
            <a:t> Hill</a:t>
          </a:r>
          <a:endParaRPr lang="en-GB" sz="2000" b="1"/>
        </a:p>
      </cdr:txBody>
    </cdr:sp>
  </cdr:relSizeAnchor>
</c:userShapes>
</file>

<file path=word/drawings/drawing4.xml><?xml version="1.0" encoding="utf-8"?>
<c:userShapes xmlns:c="http://schemas.openxmlformats.org/drawingml/2006/chart">
  <cdr:relSizeAnchor xmlns:cdr="http://schemas.openxmlformats.org/drawingml/2006/chartDrawing">
    <cdr:from>
      <cdr:x>0.09973</cdr:x>
      <cdr:y>0.03563</cdr:y>
    </cdr:from>
    <cdr:to>
      <cdr:x>0.73585</cdr:x>
      <cdr:y>0.1734</cdr:y>
    </cdr:to>
    <cdr:sp macro="" textlink="">
      <cdr:nvSpPr>
        <cdr:cNvPr id="2" name="TextBox 1"/>
        <cdr:cNvSpPr txBox="1"/>
      </cdr:nvSpPr>
      <cdr:spPr>
        <a:xfrm xmlns:a="http://schemas.openxmlformats.org/drawingml/2006/main">
          <a:off x="469900" y="95251"/>
          <a:ext cx="29972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Transport now</a:t>
          </a:r>
        </a:p>
      </cdr:txBody>
    </cdr:sp>
  </cdr:relSizeAnchor>
</c:userShapes>
</file>

<file path=word/drawings/drawing5.xml><?xml version="1.0" encoding="utf-8"?>
<c:userShapes xmlns:c="http://schemas.openxmlformats.org/drawingml/2006/chart">
  <cdr:relSizeAnchor xmlns:cdr="http://schemas.openxmlformats.org/drawingml/2006/chartDrawing">
    <cdr:from>
      <cdr:x>0.11316</cdr:x>
      <cdr:y>0.04457</cdr:y>
    </cdr:from>
    <cdr:to>
      <cdr:x>0.65363</cdr:x>
      <cdr:y>0.21429</cdr:y>
    </cdr:to>
    <cdr:sp macro="" textlink="">
      <cdr:nvSpPr>
        <cdr:cNvPr id="2" name="TextBox 1"/>
        <cdr:cNvSpPr txBox="1"/>
      </cdr:nvSpPr>
      <cdr:spPr>
        <a:xfrm xmlns:a="http://schemas.openxmlformats.org/drawingml/2006/main">
          <a:off x="497971" y="89145"/>
          <a:ext cx="2378365" cy="3394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Housing at Ridge Hill</a:t>
          </a:r>
        </a:p>
      </cdr:txBody>
    </cdr:sp>
  </cdr:relSizeAnchor>
</c:userShapes>
</file>

<file path=word/drawings/drawing6.xml><?xml version="1.0" encoding="utf-8"?>
<c:userShapes xmlns:c="http://schemas.openxmlformats.org/drawingml/2006/chart">
  <cdr:relSizeAnchor xmlns:cdr="http://schemas.openxmlformats.org/drawingml/2006/chartDrawing">
    <cdr:from>
      <cdr:x>0.12236</cdr:x>
      <cdr:y>0</cdr:y>
    </cdr:from>
    <cdr:to>
      <cdr:x>0.65479</cdr:x>
      <cdr:y>0.16991</cdr:y>
    </cdr:to>
    <cdr:sp macro="" textlink="">
      <cdr:nvSpPr>
        <cdr:cNvPr id="2" name="TextBox 1"/>
        <cdr:cNvSpPr txBox="1"/>
      </cdr:nvSpPr>
      <cdr:spPr>
        <a:xfrm xmlns:a="http://schemas.openxmlformats.org/drawingml/2006/main">
          <a:off x="508167" y="0"/>
          <a:ext cx="2211129" cy="3398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Housing</a:t>
          </a:r>
          <a:r>
            <a:rPr lang="en-GB" sz="1800" b="1" baseline="0"/>
            <a:t> now</a:t>
          </a:r>
          <a:endParaRPr lang="en-GB" sz="1800" b="1"/>
        </a:p>
      </cdr:txBody>
    </cdr:sp>
  </cdr:relSizeAnchor>
</c:userShapes>
</file>

<file path=word/drawings/drawing7.xml><?xml version="1.0" encoding="utf-8"?>
<c:userShapes xmlns:c="http://schemas.openxmlformats.org/drawingml/2006/chart">
  <cdr:relSizeAnchor xmlns:cdr="http://schemas.openxmlformats.org/drawingml/2006/chartDrawing">
    <cdr:from>
      <cdr:x>0.13386</cdr:x>
      <cdr:y>0.03009</cdr:y>
    </cdr:from>
    <cdr:to>
      <cdr:x>0.82415</cdr:x>
      <cdr:y>0.15509</cdr:y>
    </cdr:to>
    <cdr:sp macro="" textlink="">
      <cdr:nvSpPr>
        <cdr:cNvPr id="2" name="TextBox 1"/>
        <cdr:cNvSpPr txBox="1"/>
      </cdr:nvSpPr>
      <cdr:spPr>
        <a:xfrm xmlns:a="http://schemas.openxmlformats.org/drawingml/2006/main">
          <a:off x="647700" y="82551"/>
          <a:ext cx="33401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baseline="0"/>
            <a:t>Feeling Safe at Ridge Hill</a:t>
          </a:r>
          <a:endParaRPr lang="en-GB" sz="1800" b="1"/>
        </a:p>
      </cdr:txBody>
    </cdr:sp>
  </cdr:relSizeAnchor>
</c:userShapes>
</file>

<file path=word/drawings/drawing8.xml><?xml version="1.0" encoding="utf-8"?>
<c:userShapes xmlns:c="http://schemas.openxmlformats.org/drawingml/2006/chart">
  <cdr:relSizeAnchor xmlns:cdr="http://schemas.openxmlformats.org/drawingml/2006/chartDrawing">
    <cdr:from>
      <cdr:x>0.11111</cdr:x>
      <cdr:y>0.03472</cdr:y>
    </cdr:from>
    <cdr:to>
      <cdr:x>0.77222</cdr:x>
      <cdr:y>0.16898</cdr:y>
    </cdr:to>
    <cdr:sp macro="" textlink="">
      <cdr:nvSpPr>
        <cdr:cNvPr id="2" name="TextBox 1"/>
        <cdr:cNvSpPr txBox="1"/>
      </cdr:nvSpPr>
      <cdr:spPr>
        <a:xfrm xmlns:a="http://schemas.openxmlformats.org/drawingml/2006/main">
          <a:off x="508000" y="95251"/>
          <a:ext cx="30226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Feeling</a:t>
          </a:r>
          <a:r>
            <a:rPr lang="en-GB" sz="1800" b="1" baseline="0"/>
            <a:t> Safe Now</a:t>
          </a:r>
          <a:endParaRPr lang="en-GB" sz="1800" b="1"/>
        </a:p>
      </cdr:txBody>
    </cdr:sp>
  </cdr:relSizeAnchor>
</c:userShapes>
</file>

<file path=word/drawings/drawing9.xml><?xml version="1.0" encoding="utf-8"?>
<c:userShapes xmlns:c="http://schemas.openxmlformats.org/drawingml/2006/chart">
  <cdr:relSizeAnchor xmlns:cdr="http://schemas.openxmlformats.org/drawingml/2006/chartDrawing">
    <cdr:from>
      <cdr:x>0.12272</cdr:x>
      <cdr:y>0.02989</cdr:y>
    </cdr:from>
    <cdr:to>
      <cdr:x>0.86512</cdr:x>
      <cdr:y>0.19027</cdr:y>
    </cdr:to>
    <cdr:sp macro="" textlink="">
      <cdr:nvSpPr>
        <cdr:cNvPr id="2" name="TextBox 1"/>
        <cdr:cNvSpPr txBox="1"/>
      </cdr:nvSpPr>
      <cdr:spPr>
        <a:xfrm xmlns:a="http://schemas.openxmlformats.org/drawingml/2006/main">
          <a:off x="502630" y="64343"/>
          <a:ext cx="3040670" cy="3452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800" b="1"/>
            <a:t>Health support at Ridge Hill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hammett</dc:creator>
  <cp:lastModifiedBy>Karen</cp:lastModifiedBy>
  <cp:revision>2</cp:revision>
  <cp:lastPrinted>2013-04-29T11:59:00Z</cp:lastPrinted>
  <dcterms:created xsi:type="dcterms:W3CDTF">2014-01-09T13:46:00Z</dcterms:created>
  <dcterms:modified xsi:type="dcterms:W3CDTF">2014-01-09T13:46:00Z</dcterms:modified>
</cp:coreProperties>
</file>